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04"/>
        <w:tblW w:w="6850" w:type="dxa"/>
        <w:tblLook w:val="04A0" w:firstRow="1" w:lastRow="0" w:firstColumn="1" w:lastColumn="0" w:noHBand="0" w:noVBand="1"/>
      </w:tblPr>
      <w:tblGrid>
        <w:gridCol w:w="2170"/>
        <w:gridCol w:w="1980"/>
        <w:gridCol w:w="2700"/>
      </w:tblGrid>
      <w:tr w:rsidR="00F318B2" w14:paraId="0F9F8763" w14:textId="77777777" w:rsidTr="005A65F6">
        <w:tc>
          <w:tcPr>
            <w:tcW w:w="4150" w:type="dxa"/>
            <w:gridSpan w:val="2"/>
          </w:tcPr>
          <w:p w14:paraId="163DF17A" w14:textId="77777777" w:rsidR="00F318B2" w:rsidRDefault="00F318B2" w:rsidP="00CD1EA3">
            <w:r w:rsidRPr="00B57FCD">
              <w:t>NAME</w:t>
            </w:r>
            <w:r>
              <w:t>:</w:t>
            </w:r>
          </w:p>
        </w:tc>
        <w:tc>
          <w:tcPr>
            <w:tcW w:w="2700" w:type="dxa"/>
          </w:tcPr>
          <w:p w14:paraId="61658B58" w14:textId="77777777" w:rsidR="00F318B2" w:rsidRDefault="00F318B2" w:rsidP="00F318B2">
            <w:r w:rsidRPr="00B57FCD">
              <w:rPr>
                <w:b/>
                <w:bCs/>
              </w:rPr>
              <w:t>DATE</w:t>
            </w:r>
            <w:r>
              <w:t xml:space="preserve">: </w:t>
            </w:r>
          </w:p>
        </w:tc>
      </w:tr>
      <w:tr w:rsidR="00F318B2" w14:paraId="7D140C6C" w14:textId="77777777" w:rsidTr="005A65F6">
        <w:tc>
          <w:tcPr>
            <w:tcW w:w="2170" w:type="dxa"/>
          </w:tcPr>
          <w:p w14:paraId="7619A153" w14:textId="28CB6AF0" w:rsidR="00F318B2" w:rsidRDefault="00F318B2" w:rsidP="00F318B2">
            <w:r w:rsidRPr="00B57FCD">
              <w:rPr>
                <w:b/>
                <w:bCs/>
              </w:rPr>
              <w:t>DOB</w:t>
            </w:r>
            <w:r>
              <w:t xml:space="preserve">: </w:t>
            </w:r>
          </w:p>
        </w:tc>
        <w:tc>
          <w:tcPr>
            <w:tcW w:w="1980" w:type="dxa"/>
          </w:tcPr>
          <w:p w14:paraId="504EEE7A" w14:textId="77777777" w:rsidR="00F318B2" w:rsidRDefault="00F318B2" w:rsidP="00F318B2">
            <w:r w:rsidRPr="00B57FCD">
              <w:rPr>
                <w:b/>
                <w:bCs/>
              </w:rPr>
              <w:t>AGE</w:t>
            </w:r>
            <w:r>
              <w:t>:</w:t>
            </w:r>
          </w:p>
        </w:tc>
        <w:tc>
          <w:tcPr>
            <w:tcW w:w="2700" w:type="dxa"/>
          </w:tcPr>
          <w:p w14:paraId="7F1FABF0" w14:textId="77777777" w:rsidR="00F318B2" w:rsidRDefault="00F318B2" w:rsidP="00F318B2"/>
        </w:tc>
      </w:tr>
      <w:tr w:rsidR="006D1021" w14:paraId="40E2867D" w14:textId="77777777" w:rsidTr="005A65F6">
        <w:tc>
          <w:tcPr>
            <w:tcW w:w="6850" w:type="dxa"/>
            <w:gridSpan w:val="3"/>
          </w:tcPr>
          <w:p w14:paraId="64C884DE" w14:textId="04C5A35B" w:rsidR="00B57FCD" w:rsidRDefault="006D1021" w:rsidP="00F318B2">
            <w:r w:rsidRPr="00B57FCD">
              <w:rPr>
                <w:b/>
                <w:bCs/>
              </w:rPr>
              <w:t>R</w:t>
            </w:r>
            <w:r w:rsidR="00033DF0">
              <w:rPr>
                <w:b/>
                <w:bCs/>
              </w:rPr>
              <w:t>eferenced Documents</w:t>
            </w:r>
            <w:r>
              <w:t xml:space="preserve">: </w:t>
            </w:r>
          </w:p>
          <w:p w14:paraId="3B40D2C4" w14:textId="19A5D005" w:rsidR="006D1021" w:rsidRPr="0083152C" w:rsidRDefault="006D1021" w:rsidP="00F318B2">
            <w:r w:rsidRPr="0083152C">
              <w:t>Obi Medical Device Needs Assessment</w:t>
            </w:r>
          </w:p>
        </w:tc>
      </w:tr>
    </w:tbl>
    <w:p w14:paraId="16A2A7D6" w14:textId="4E042F20" w:rsidR="00C5244F" w:rsidRPr="00C5244F" w:rsidRDefault="0083152C" w:rsidP="00C5244F">
      <w:pPr>
        <w:spacing w:after="0"/>
        <w:jc w:val="center"/>
        <w:rPr>
          <w:sz w:val="28"/>
          <w:szCs w:val="28"/>
        </w:rPr>
      </w:pPr>
      <w:r>
        <w:rPr>
          <w:noProof/>
        </w:rPr>
        <mc:AlternateContent>
          <mc:Choice Requires="wps">
            <w:drawing>
              <wp:anchor distT="0" distB="0" distL="114300" distR="114300" simplePos="0" relativeHeight="251660288" behindDoc="1" locked="0" layoutInCell="1" allowOverlap="1" wp14:anchorId="1190B82B" wp14:editId="6B946F88">
                <wp:simplePos x="0" y="0"/>
                <wp:positionH relativeFrom="column">
                  <wp:posOffset>76200</wp:posOffset>
                </wp:positionH>
                <wp:positionV relativeFrom="paragraph">
                  <wp:posOffset>1583690</wp:posOffset>
                </wp:positionV>
                <wp:extent cx="2221865" cy="635"/>
                <wp:effectExtent l="0" t="0" r="6985" b="0"/>
                <wp:wrapNone/>
                <wp:docPr id="1028466298" name="Text Box 1"/>
                <wp:cNvGraphicFramePr/>
                <a:graphic xmlns:a="http://schemas.openxmlformats.org/drawingml/2006/main">
                  <a:graphicData uri="http://schemas.microsoft.com/office/word/2010/wordprocessingShape">
                    <wps:wsp>
                      <wps:cNvSpPr txBox="1"/>
                      <wps:spPr>
                        <a:xfrm>
                          <a:off x="0" y="0"/>
                          <a:ext cx="2221865" cy="635"/>
                        </a:xfrm>
                        <a:prstGeom prst="rect">
                          <a:avLst/>
                        </a:prstGeom>
                        <a:noFill/>
                        <a:ln>
                          <a:noFill/>
                        </a:ln>
                        <a:effectLst/>
                      </wps:spPr>
                      <wps:style>
                        <a:lnRef idx="2">
                          <a:schemeClr val="dk1"/>
                        </a:lnRef>
                        <a:fillRef idx="1">
                          <a:schemeClr val="lt1"/>
                        </a:fillRef>
                        <a:effectRef idx="0">
                          <a:schemeClr val="dk1"/>
                        </a:effectRef>
                        <a:fontRef idx="minor">
                          <a:schemeClr val="dk1"/>
                        </a:fontRef>
                      </wps:style>
                      <wps:txbx>
                        <w:txbxContent>
                          <w:p w14:paraId="57B175E1" w14:textId="2292ED96" w:rsidR="0083152C" w:rsidRPr="00BD74E0" w:rsidRDefault="0083152C" w:rsidP="0083152C">
                            <w:pPr>
                              <w:pStyle w:val="Caption"/>
                              <w:jc w:val="center"/>
                              <w:rPr>
                                <w:noProof/>
                                <w:sz w:val="22"/>
                                <w:szCs w:val="22"/>
                              </w:rPr>
                            </w:pPr>
                            <w:r>
                              <w:t xml:space="preserve">Figure# </w:t>
                            </w:r>
                            <w:fldSimple w:instr=" SEQ Figure# \* ARABIC ">
                              <w:r>
                                <w:rPr>
                                  <w:noProof/>
                                </w:rPr>
                                <w:t>1</w:t>
                              </w:r>
                            </w:fldSimple>
                            <w:r>
                              <w:t>: Patient Photo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190B82B" id="_x0000_t202" coordsize="21600,21600" o:spt="202" path="m,l,21600r21600,l21600,xe">
                <v:stroke joinstyle="miter"/>
                <v:path gradientshapeok="t" o:connecttype="rect"/>
              </v:shapetype>
              <v:shape id="Text Box 1" o:spid="_x0000_s1026" type="#_x0000_t202" style="position:absolute;left:0;text-align:left;margin-left:6pt;margin-top:124.7pt;width:174.9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" filled="f" stroked="f" strokeweight="1pt">
                <v:textbox style="mso-fit-shape-to-text:t" inset="0,0,0,0">
                  <w:txbxContent>
                    <w:p w14:paraId="57B175E1" w14:textId="2292ED96" w:rsidR="0083152C" w:rsidRPr="00BD74E0" w:rsidRDefault="0083152C" w:rsidP="0083152C">
                      <w:pPr>
                        <w:pStyle w:val="Caption"/>
                        <w:jc w:val="center"/>
                        <w:rPr>
                          <w:noProof/>
                          <w:sz w:val="22"/>
                          <w:szCs w:val="22"/>
                        </w:rPr>
                      </w:pPr>
                      <w:r>
                        <w:t xml:space="preserve">Figure# </w:t>
                      </w:r>
                      <w:fldSimple w:instr=" SEQ Figure# \* ARABIC ">
                        <w:r>
                          <w:rPr>
                            <w:noProof/>
                          </w:rPr>
                          <w:t>1</w:t>
                        </w:r>
                      </w:fldSimple>
                      <w:r>
                        <w:t>: Patient Photo</w:t>
                      </w:r>
                    </w:p>
                  </w:txbxContent>
                </v:textbox>
              </v:shape>
            </w:pict>
          </mc:Fallback>
        </mc:AlternateContent>
      </w:r>
      <w:r w:rsidR="00B33042">
        <w:rPr>
          <w:noProof/>
        </w:rPr>
        <w:drawing>
          <wp:anchor distT="0" distB="0" distL="114300" distR="114300" simplePos="0" relativeHeight="251658240" behindDoc="1" locked="0" layoutInCell="1" allowOverlap="1" wp14:anchorId="57CB72EA" wp14:editId="5B2C0691">
            <wp:simplePos x="0" y="0"/>
            <wp:positionH relativeFrom="column">
              <wp:posOffset>76200</wp:posOffset>
            </wp:positionH>
            <wp:positionV relativeFrom="paragraph">
              <wp:posOffset>0</wp:posOffset>
            </wp:positionV>
            <wp:extent cx="2221992" cy="1527048"/>
            <wp:effectExtent l="76200" t="76200" r="64135" b="73660"/>
            <wp:wrapNone/>
            <wp:docPr id="1" name="Picture 1" descr="Click to add Patient/Clie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ick to add Patient/Client Photo"/>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2221992" cy="1527048"/>
                    </a:xfrm>
                    <a:prstGeom prst="roundRect">
                      <a:avLst>
                        <a:gd name="adj" fmla="val 4167"/>
                      </a:avLst>
                    </a:prstGeom>
                    <a:solidFill>
                      <a:srgbClr val="FFFFFF"/>
                    </a:solidFill>
                    <a:ln w="38100" cap="sq">
                      <a:solidFill>
                        <a:srgbClr val="292929"/>
                      </a:solidFill>
                      <a:miter lim="800000"/>
                    </a:ln>
                    <a:effectLst/>
                    <a:scene3d>
                      <a:camera prst="orthographicFront"/>
                      <a:lightRig rig="threePt" dir="t">
                        <a:rot lat="0" lon="0" rev="2700000"/>
                      </a:lightRig>
                    </a:scene3d>
                    <a:sp3d>
                      <a:bevelT h="38100"/>
                      <a:contourClr>
                        <a:srgbClr val="C0C0C0"/>
                      </a:contourClr>
                    </a:sp3d>
                  </pic:spPr>
                </pic:pic>
              </a:graphicData>
            </a:graphic>
            <wp14:sizeRelV relativeFrom="margin">
              <wp14:pctHeight>0</wp14:pctHeight>
            </wp14:sizeRelV>
          </wp:anchor>
        </w:drawing>
      </w:r>
    </w:p>
    <w:sdt>
      <w:sdtPr>
        <w:id w:val="316162561"/>
        <w:picture/>
      </w:sdtPr>
      <w:sdtContent>
        <w:p w14:paraId="14BEF8B3" w14:textId="044E2F3D" w:rsidR="00C5244F" w:rsidRDefault="00000000" w:rsidP="000D50B0"/>
      </w:sdtContent>
    </w:sdt>
    <w:p w14:paraId="4E61839E" w14:textId="77777777" w:rsidR="00F318B2" w:rsidRDefault="00F318B2" w:rsidP="00B33042">
      <w:pPr>
        <w:jc w:val="center"/>
      </w:pPr>
    </w:p>
    <w:p w14:paraId="2B85FAFC" w14:textId="19F544BC" w:rsidR="00F318B2" w:rsidRDefault="00B33042" w:rsidP="00B33042">
      <w:pPr>
        <w:tabs>
          <w:tab w:val="left" w:pos="2448"/>
        </w:tabs>
      </w:pPr>
      <w:r>
        <w:tab/>
      </w:r>
    </w:p>
    <w:p w14:paraId="19DB0E4C" w14:textId="77777777" w:rsidR="00F318B2" w:rsidRDefault="00F318B2" w:rsidP="000D50B0"/>
    <w:p w14:paraId="3D2EB1BF" w14:textId="77777777" w:rsidR="00F318B2" w:rsidRDefault="00F318B2" w:rsidP="000D50B0"/>
    <w:p w14:paraId="538DBDBE" w14:textId="77777777" w:rsidR="0083152C" w:rsidRDefault="0083152C" w:rsidP="000D50B0"/>
    <w:p w14:paraId="12763454" w14:textId="1C97AB9E" w:rsidR="0039382D" w:rsidRDefault="000D50B0" w:rsidP="000D50B0">
      <w:r>
        <w:t xml:space="preserve">My name is </w:t>
      </w:r>
      <w:sdt>
        <w:sdtPr>
          <w:id w:val="1645538210"/>
          <w:placeholder>
            <w:docPart w:val="28490F71954D4E5990A08D735E352FA7"/>
          </w:placeholder>
          <w:showingPlcHdr/>
          <w:text/>
        </w:sdtPr>
        <w:sdtContent>
          <w:r w:rsidR="000C7E40">
            <w:t>[</w:t>
          </w:r>
          <w:r w:rsidRPr="000D50B0">
            <w:rPr>
              <w:color w:val="00B0F0"/>
            </w:rPr>
            <w:t>INSERT CLINICIAL EVALUATOR NAME</w:t>
          </w:r>
          <w:r w:rsidR="000C7E40">
            <w:rPr>
              <w:color w:val="00B0F0"/>
            </w:rPr>
            <w:t>]</w:t>
          </w:r>
        </w:sdtContent>
      </w:sdt>
      <w:r>
        <w:t xml:space="preserve"> and I am an experienced </w:t>
      </w:r>
      <w:sdt>
        <w:sdtPr>
          <w:id w:val="-1448622743"/>
          <w:placeholder>
            <w:docPart w:val="88E66B89BD71439F99BCECA08D3B5FEC"/>
          </w:placeholder>
          <w:showingPlcHdr/>
          <w:text/>
        </w:sdtPr>
        <w:sdtEndPr>
          <w:rPr>
            <w:color w:val="00B0F0"/>
          </w:rPr>
        </w:sdtEndPr>
        <w:sdtContent>
          <w:r w:rsidR="000C7E40">
            <w:t>[</w:t>
          </w:r>
          <w:r w:rsidRPr="000D50B0">
            <w:rPr>
              <w:color w:val="00B0F0"/>
            </w:rPr>
            <w:t>INSERT PROFESSIONAL CREDENTIAL: OT/PT/SLP</w:t>
          </w:r>
          <w:r w:rsidR="000C7E40">
            <w:rPr>
              <w:color w:val="00B0F0"/>
            </w:rPr>
            <w:t>]</w:t>
          </w:r>
        </w:sdtContent>
      </w:sdt>
      <w:r>
        <w:rPr>
          <w:color w:val="00B0F0"/>
        </w:rPr>
        <w:t xml:space="preserve"> </w:t>
      </w:r>
      <w:r>
        <w:t xml:space="preserve">with an extensive background in assessment of clinical interventions within occupational therapy and expertise in </w:t>
      </w:r>
      <w:r w:rsidR="00766249">
        <w:t xml:space="preserve">durable medical equipment, including </w:t>
      </w:r>
      <w:r w:rsidR="009733A2">
        <w:t>assessment of</w:t>
      </w:r>
      <w:r w:rsidR="006D1021">
        <w:t xml:space="preserve"> functional eating</w:t>
      </w:r>
      <w:r w:rsidR="00A437A9">
        <w:t xml:space="preserve"> </w:t>
      </w:r>
      <w:r w:rsidR="006D1021">
        <w:t>(self-feeding) impairment</w:t>
      </w:r>
      <w:r>
        <w:t xml:space="preserve">. I am writing this letter of medical necessity for </w:t>
      </w:r>
      <w:sdt>
        <w:sdtPr>
          <w:id w:val="793096226"/>
          <w:placeholder>
            <w:docPart w:val="EC42A5F6386B45F89ABF479C41CB974F"/>
          </w:placeholder>
          <w:showingPlcHdr/>
          <w:text/>
        </w:sdtPr>
        <w:sdtContent>
          <w:r w:rsidR="000C7E40" w:rsidRPr="00963278">
            <w:rPr>
              <w:color w:val="00B0F0"/>
            </w:rPr>
            <w:t>[</w:t>
          </w:r>
          <w:r w:rsidRPr="00963278">
            <w:rPr>
              <w:color w:val="00B0F0"/>
            </w:rPr>
            <w:t xml:space="preserve">INSERT </w:t>
          </w:r>
          <w:r w:rsidRPr="000D50B0">
            <w:rPr>
              <w:color w:val="00B0F0"/>
            </w:rPr>
            <w:t>PATIENT NAME</w:t>
          </w:r>
          <w:r w:rsidR="000C7E40">
            <w:rPr>
              <w:color w:val="00B0F0"/>
            </w:rPr>
            <w:t>]</w:t>
          </w:r>
        </w:sdtContent>
      </w:sdt>
      <w:r>
        <w:t xml:space="preserve"> (</w:t>
      </w:r>
      <w:r w:rsidR="00706EEC">
        <w:t>my</w:t>
      </w:r>
      <w:r>
        <w:t xml:space="preserve"> patient)</w:t>
      </w:r>
      <w:r w:rsidR="000705B6">
        <w:t xml:space="preserve"> living with </w:t>
      </w:r>
      <w:sdt>
        <w:sdtPr>
          <w:id w:val="-1775232336"/>
          <w:placeholder>
            <w:docPart w:val="E4D5D643E9CD4ABFBC80166E422D006B"/>
          </w:placeholder>
          <w:showingPlcHdr/>
          <w:text/>
        </w:sdtPr>
        <w:sdtContent>
          <w:r w:rsidR="000705B6" w:rsidRPr="000705B6">
            <w:rPr>
              <w:color w:val="00B0F0"/>
            </w:rPr>
            <w:t>[INSERT DIAGNOSIS]</w:t>
          </w:r>
        </w:sdtContent>
      </w:sdt>
      <w:r w:rsidR="000705B6">
        <w:t xml:space="preserve"> </w:t>
      </w:r>
      <w:r w:rsidR="00537AA0">
        <w:t xml:space="preserve">who consequently has severe/complete upper extremity mobility impairment (UEMI). </w:t>
      </w:r>
      <w:r w:rsidR="002413B7" w:rsidRPr="00CD1EA3">
        <w:t>Their UEMI</w:t>
      </w:r>
      <w:r w:rsidR="00DC4475" w:rsidRPr="00CD1EA3">
        <w:t xml:space="preserve"> greatly limits their ability to reach age-appropriate developmental milestones and participate in functional ADL activities, including functional eating</w:t>
      </w:r>
      <w:r w:rsidR="00CD1EA3">
        <w:t>.</w:t>
      </w:r>
      <w:r w:rsidR="00033DF0" w:rsidRPr="00033DF0">
        <w:t xml:space="preserve"> </w:t>
      </w:r>
      <w:r w:rsidR="00033DF0">
        <w:t xml:space="preserve">Due to their UEMI, my patient needed a functional eating solution assessment. This letter summarizes the results of my clinical assessment, (see Obi </w:t>
      </w:r>
      <w:r w:rsidR="00033DF0" w:rsidRPr="00EB392B">
        <w:rPr>
          <w:color w:val="000000" w:themeColor="text1"/>
        </w:rPr>
        <w:t>Medical</w:t>
      </w:r>
      <w:r w:rsidR="00033DF0" w:rsidRPr="005B2CE3">
        <w:rPr>
          <w:strike/>
          <w:color w:val="FF0000"/>
        </w:rPr>
        <w:t xml:space="preserve"> </w:t>
      </w:r>
      <w:r w:rsidR="00033DF0">
        <w:t xml:space="preserve">Device Needs Assessment), </w:t>
      </w:r>
      <w:r w:rsidR="00E9355A">
        <w:t xml:space="preserve">including determination of medical necessity, </w:t>
      </w:r>
      <w:r w:rsidR="00033DF0">
        <w:t>and further justifies these outcomes with support from the published clinical literature.</w:t>
      </w:r>
    </w:p>
    <w:p w14:paraId="3AF0BC3D" w14:textId="644D4B1D" w:rsidR="00A5674C" w:rsidRPr="00D11C06" w:rsidRDefault="00A5674C" w:rsidP="005C4828">
      <w:pPr>
        <w:spacing w:after="0"/>
        <w:rPr>
          <w:b/>
          <w:bCs/>
        </w:rPr>
      </w:pPr>
      <w:r w:rsidRPr="00D11C06">
        <w:rPr>
          <w:b/>
          <w:bCs/>
        </w:rPr>
        <w:t>About Obi</w:t>
      </w:r>
      <w:r w:rsidR="00476363" w:rsidRPr="00D11C06">
        <w:rPr>
          <w:b/>
          <w:bCs/>
        </w:rPr>
        <w:t xml:space="preserve"> </w:t>
      </w:r>
      <w:r w:rsidR="00476363" w:rsidRPr="00D11C06">
        <w:t>(according to manufacturer DESIN LLC)</w:t>
      </w:r>
      <w:r w:rsidRPr="00D11C06">
        <w:t>:</w:t>
      </w:r>
      <w:r w:rsidRPr="00D11C06">
        <w:rPr>
          <w:b/>
          <w:bCs/>
        </w:rPr>
        <w:t xml:space="preserve"> </w:t>
      </w:r>
      <w:r w:rsidRPr="00D11C06">
        <w:t>Obi is a</w:t>
      </w:r>
      <w:r w:rsidR="00A364EF">
        <w:t>n</w:t>
      </w:r>
      <w:r w:rsidRPr="00D11C06">
        <w:t xml:space="preserve"> </w:t>
      </w:r>
      <w:r w:rsidR="00C6278D" w:rsidRPr="00D11C06">
        <w:t xml:space="preserve">FDA Class I </w:t>
      </w:r>
      <w:r w:rsidRPr="00D11C06">
        <w:t xml:space="preserve">medical </w:t>
      </w:r>
      <w:r w:rsidR="00515956">
        <w:t>device</w:t>
      </w:r>
      <w:r w:rsidRPr="00D11C06">
        <w:t xml:space="preserve"> intended to compensate for the function of a human arm </w:t>
      </w:r>
      <w:r w:rsidR="005C4828" w:rsidRPr="00D11C06">
        <w:t>to restore the ADL of self-feeding</w:t>
      </w:r>
      <w:r w:rsidRPr="00D11C06">
        <w:t>.</w:t>
      </w:r>
      <w:r w:rsidR="005C4828" w:rsidRPr="00D11C06">
        <w:t xml:space="preserve"> </w:t>
      </w:r>
      <w:r w:rsidR="00960187" w:rsidRPr="00D11C06">
        <w:t>The following are</w:t>
      </w:r>
      <w:r w:rsidR="005C4828" w:rsidRPr="00D11C06">
        <w:t xml:space="preserve"> credentials</w:t>
      </w:r>
      <w:r w:rsidR="00960187" w:rsidRPr="00D11C06">
        <w:t xml:space="preserve"> regarding its widespread use</w:t>
      </w:r>
      <w:r w:rsidR="00C6278D" w:rsidRPr="00D11C06">
        <w:t>:</w:t>
      </w:r>
    </w:p>
    <w:p w14:paraId="6055C76A" w14:textId="77777777" w:rsidR="00C6278D" w:rsidRPr="00D11C06" w:rsidRDefault="00C6278D" w:rsidP="00C6278D">
      <w:pPr>
        <w:pStyle w:val="ListParagraph"/>
        <w:numPr>
          <w:ilvl w:val="0"/>
          <w:numId w:val="2"/>
        </w:numPr>
        <w:spacing w:line="240" w:lineRule="auto"/>
        <w:ind w:left="360"/>
        <w:rPr>
          <w:b/>
          <w:bCs/>
        </w:rPr>
      </w:pPr>
      <w:r w:rsidRPr="00D11C06">
        <w:rPr>
          <w:b/>
          <w:bCs/>
        </w:rPr>
        <w:t xml:space="preserve">Safety &amp; Efficacy: </w:t>
      </w:r>
    </w:p>
    <w:p w14:paraId="028AE80C" w14:textId="37A3C7F1" w:rsidR="00C6278D" w:rsidRPr="00D11C06" w:rsidRDefault="00C6278D" w:rsidP="00C6278D">
      <w:pPr>
        <w:pStyle w:val="ListParagraph"/>
        <w:numPr>
          <w:ilvl w:val="1"/>
          <w:numId w:val="2"/>
        </w:numPr>
        <w:spacing w:line="240" w:lineRule="auto"/>
        <w:ind w:left="630"/>
      </w:pPr>
      <w:r w:rsidRPr="00D11C06">
        <w:rPr>
          <w:i/>
          <w:iCs/>
        </w:rPr>
        <w:t xml:space="preserve">FDA </w:t>
      </w:r>
      <w:r w:rsidRPr="00D11C06">
        <w:t>Listing: D253086</w:t>
      </w:r>
      <w:r w:rsidRPr="00D11C06">
        <w:rPr>
          <w:i/>
          <w:iCs/>
        </w:rPr>
        <w:t xml:space="preserve"> </w:t>
      </w:r>
      <w:r w:rsidRPr="00D11C06">
        <w:t>(Class I).</w:t>
      </w:r>
      <w:r w:rsidRPr="00D11C06">
        <w:rPr>
          <w:i/>
          <w:iCs/>
        </w:rPr>
        <w:t xml:space="preserve"> </w:t>
      </w:r>
    </w:p>
    <w:p w14:paraId="3813E27C" w14:textId="795591DF" w:rsidR="00C6278D" w:rsidRPr="00D11C06" w:rsidRDefault="00C6278D" w:rsidP="00C6278D">
      <w:pPr>
        <w:pStyle w:val="ListParagraph"/>
        <w:numPr>
          <w:ilvl w:val="1"/>
          <w:numId w:val="2"/>
        </w:numPr>
        <w:spacing w:line="240" w:lineRule="auto"/>
        <w:ind w:left="630"/>
      </w:pPr>
      <w:r w:rsidRPr="00D11C06">
        <w:t xml:space="preserve">Clinical </w:t>
      </w:r>
      <w:r w:rsidR="00FC3548">
        <w:t>E</w:t>
      </w:r>
      <w:r w:rsidRPr="00D11C06">
        <w:t>vidence</w:t>
      </w:r>
      <w:r w:rsidR="00263A23">
        <w:t xml:space="preserve"> &amp; </w:t>
      </w:r>
      <w:r w:rsidR="00FC3548">
        <w:t>H</w:t>
      </w:r>
      <w:r w:rsidR="00263A23">
        <w:t xml:space="preserve">uman </w:t>
      </w:r>
      <w:r w:rsidR="00FC3548">
        <w:t>S</w:t>
      </w:r>
      <w:r w:rsidR="00263A23">
        <w:t xml:space="preserve">ubject </w:t>
      </w:r>
      <w:r w:rsidR="00FC3548">
        <w:t>R</w:t>
      </w:r>
      <w:r w:rsidR="00263A23">
        <w:t>esearch</w:t>
      </w:r>
      <w:r w:rsidR="00D6080D">
        <w:t>:</w:t>
      </w:r>
      <w:r w:rsidR="008F12DD">
        <w:fldChar w:fldCharType="begin"/>
      </w:r>
      <w:r w:rsidR="00ED09D3">
        <w:instrText xml:space="preserve"> ADDIN ZOTERO_ITEM CSL_CITATION {"citationID":"jqnItCyf","properties":{"formattedCitation":"[1]","plainCitation":"[1]","noteIndex":0},"citationItems":[{"id":1342,"uris":["http://zotero.org/groups/5496641/items/HZBC5L6G"],"itemData":{"id":1342,"type":"article-journal","container-title":"Assistive Technology Outcomes and Benefits (ATOB)","title":"The Use of Obi Robot for Self-Feeding with Individuals with Upper Extremity Limitations.","volume":"19","author":[{"family":"Burgos","given":"B.B."}],"issued":{"date-parts":[["2025"]]}}}],"schema":"https://github.com/citation-style-language/schema/raw/master/csl-citation.json"} </w:instrText>
      </w:r>
      <w:r w:rsidR="008F12DD">
        <w:fldChar w:fldCharType="separate"/>
      </w:r>
      <w:r w:rsidR="008F12DD" w:rsidRPr="008F12DD">
        <w:rPr>
          <w:rFonts w:ascii="Calibri" w:hAnsi="Calibri" w:cs="Calibri"/>
        </w:rPr>
        <w:t>[1]</w:t>
      </w:r>
      <w:r w:rsidR="008F12DD">
        <w:fldChar w:fldCharType="end"/>
      </w:r>
      <w:r w:rsidR="00263A23">
        <w:t xml:space="preserve"> </w:t>
      </w:r>
      <w:r w:rsidR="00263A23">
        <w:fldChar w:fldCharType="begin"/>
      </w:r>
      <w:r w:rsidR="00263A23">
        <w:instrText xml:space="preserve"> ADDIN ZOTERO_ITEM CSL_CITATION {"citationID":"sF4ICao3","properties":{"formattedCitation":"[2]","plainCitation":"[2]","noteIndex":0},"citationItems":[{"id":315,"uris":["http://zotero.org/users/13970490/items/L6UAMUZ2"],"itemData":{"id":315,"type":"report","title":"VoicePilot: Harnessing LLMs as Speech Interfaces for Physically Assistive Robots","author":[{"family":"Padmanabha","given":"Akhil"},{"family":"Yuan","given":"Jessie"},{"family":"Gupta","given":"Janavi"},{"family":"Karachiwalla","given":"Zulekha"},{"family":"Majidi","given":"Carmel"},{"family":"Admoni","given":"Henny"},{"family":"Erickson","given":"Zackory"}],"issued":{"date-parts":[["2024"]]}}}],"schema":"https://github.com/citation-style-language/schema/raw/master/csl-citation.json"} </w:instrText>
      </w:r>
      <w:r w:rsidR="00263A23">
        <w:fldChar w:fldCharType="separate"/>
      </w:r>
      <w:r w:rsidR="00263A23" w:rsidRPr="00263A23">
        <w:rPr>
          <w:rFonts w:ascii="Calibri" w:hAnsi="Calibri" w:cs="Calibri"/>
        </w:rPr>
        <w:t>[2]</w:t>
      </w:r>
      <w:r w:rsidR="00263A23">
        <w:fldChar w:fldCharType="end"/>
      </w:r>
      <w:r w:rsidR="00263A23">
        <w:t xml:space="preserve"> </w:t>
      </w:r>
      <w:r w:rsidR="00263A23">
        <w:fldChar w:fldCharType="begin"/>
      </w:r>
      <w:r w:rsidR="00263A23">
        <w:instrText xml:space="preserve"> ADDIN ZOTERO_ITEM CSL_CITATION {"citationID":"OabGI1rz","properties":{"formattedCitation":"[3]","plainCitation":"[3]","noteIndex":0},"citationItems":[{"id":134,"uris":["http://zotero.org/users/13970490/items/HHSIZWZI"],"itemData":{"id":134,"type":"paper-conference","abstract":"In some contexts, like geriatric hospitals, the number of patients requiring assistance with feeding is very high and robots may be an effective tool for caregivers to provide better assistance. This article introduces NYAM, a robot designed to aid in the feeding process for individuals. Our robot is equipped with a mechanism to effectively recapture the person's attention whenever necessary. The mechanism is easily adjustable by the caregivers, allowing the straightforward customisation of the feeding service. The approach was evaluated, within a geriatric hospital, with 9 patients who used the robot for 5 consecutive days. We argue that incorporating enhanced social aspects into the robot is imperative to enhance the effectiveness and acceptance of this solution.","DOI":"10.1145/3610978.3640691","ISBN":"9798400703232","page":"228-232","publisher":"ACM","title":"NYAM: The Role of Configurable Engagement Strategies in Robotic-Assisted Feeding","author":[{"family":"Barrué","given":"Cristian"},{"family":"Suárez","given":"Alejandro"},{"family":"Inzitari","given":"Marco"},{"family":"Ribera","given":"Aida"},{"family":"Alenyà","given":"Guillem"}],"issued":{"date-parts":[["2024"]]}}}],"schema":"https://github.com/citation-style-language/schema/raw/master/csl-citation.json"} </w:instrText>
      </w:r>
      <w:r w:rsidR="00263A23">
        <w:fldChar w:fldCharType="separate"/>
      </w:r>
      <w:r w:rsidR="00263A23" w:rsidRPr="00263A23">
        <w:rPr>
          <w:rFonts w:ascii="Calibri" w:hAnsi="Calibri" w:cs="Calibri"/>
        </w:rPr>
        <w:t>[3]</w:t>
      </w:r>
      <w:r w:rsidR="00263A23">
        <w:fldChar w:fldCharType="end"/>
      </w:r>
    </w:p>
    <w:p w14:paraId="42FEE79F" w14:textId="2C2CB820" w:rsidR="00C6278D" w:rsidRPr="00D11C06" w:rsidRDefault="00A364EF" w:rsidP="00C6278D">
      <w:pPr>
        <w:pStyle w:val="ListParagraph"/>
        <w:numPr>
          <w:ilvl w:val="1"/>
          <w:numId w:val="2"/>
        </w:numPr>
        <w:spacing w:line="240" w:lineRule="auto"/>
        <w:ind w:left="630"/>
      </w:pPr>
      <w:r>
        <w:t xml:space="preserve">Medical </w:t>
      </w:r>
      <w:r w:rsidR="00960187" w:rsidRPr="00D11C06">
        <w:t>Safety Certification (</w:t>
      </w:r>
      <w:r w:rsidR="00960187" w:rsidRPr="00D11C06">
        <w:rPr>
          <w:i/>
          <w:iCs/>
        </w:rPr>
        <w:t>IEC60601-1</w:t>
      </w:r>
      <w:r w:rsidR="00960187" w:rsidRPr="00D11C06">
        <w:t>):</w:t>
      </w:r>
      <w:r w:rsidR="00960187" w:rsidRPr="00D11C06">
        <w:rPr>
          <w:i/>
          <w:iCs/>
        </w:rPr>
        <w:t xml:space="preserve"> </w:t>
      </w:r>
      <w:r w:rsidR="00C6278D" w:rsidRPr="00D11C06">
        <w:t xml:space="preserve">Certified and listed with </w:t>
      </w:r>
      <w:r w:rsidR="00C6278D" w:rsidRPr="00D11C06">
        <w:rPr>
          <w:i/>
          <w:iCs/>
        </w:rPr>
        <w:t>SGS</w:t>
      </w:r>
      <w:r w:rsidR="00960187" w:rsidRPr="00D11C06">
        <w:rPr>
          <w:i/>
          <w:iCs/>
        </w:rPr>
        <w:t xml:space="preserve"> </w:t>
      </w:r>
      <w:r w:rsidR="00D11C06" w:rsidRPr="00D11C06">
        <w:rPr>
          <w:i/>
          <w:iCs/>
        </w:rPr>
        <w:t xml:space="preserve">North America, Inc. </w:t>
      </w:r>
      <w:r w:rsidR="00960187" w:rsidRPr="00D11C06">
        <w:rPr>
          <w:i/>
          <w:iCs/>
        </w:rPr>
        <w:t>(#</w:t>
      </w:r>
      <w:r w:rsidR="00D11C06" w:rsidRPr="00D11C06">
        <w:rPr>
          <w:i/>
          <w:iCs/>
        </w:rPr>
        <w:t>F2P22725A-05S)</w:t>
      </w:r>
      <w:r w:rsidR="00C6278D" w:rsidRPr="00D11C06">
        <w:rPr>
          <w:i/>
          <w:iCs/>
        </w:rPr>
        <w:t>.</w:t>
      </w:r>
    </w:p>
    <w:p w14:paraId="7459E460" w14:textId="4DF6F8CF" w:rsidR="00C6278D" w:rsidRPr="00D11C06" w:rsidRDefault="00A364EF" w:rsidP="00C6278D">
      <w:pPr>
        <w:pStyle w:val="ListParagraph"/>
        <w:numPr>
          <w:ilvl w:val="1"/>
          <w:numId w:val="2"/>
        </w:numPr>
        <w:spacing w:line="240" w:lineRule="auto"/>
        <w:ind w:left="630"/>
      </w:pPr>
      <w:r>
        <w:t xml:space="preserve">Medical </w:t>
      </w:r>
      <w:r w:rsidR="00960187" w:rsidRPr="00D11C06">
        <w:t>Quality Certification (</w:t>
      </w:r>
      <w:r w:rsidR="00960187" w:rsidRPr="00D11C06">
        <w:rPr>
          <w:i/>
          <w:iCs/>
        </w:rPr>
        <w:t>ISO</w:t>
      </w:r>
      <w:r w:rsidR="00D11C06" w:rsidRPr="00D11C06">
        <w:rPr>
          <w:i/>
          <w:iCs/>
        </w:rPr>
        <w:t xml:space="preserve"> </w:t>
      </w:r>
      <w:r w:rsidR="00960187" w:rsidRPr="00D11C06">
        <w:rPr>
          <w:i/>
          <w:iCs/>
        </w:rPr>
        <w:t>13485</w:t>
      </w:r>
      <w:r w:rsidR="00960187" w:rsidRPr="00D11C06">
        <w:t>):</w:t>
      </w:r>
      <w:r w:rsidR="00960187" w:rsidRPr="00D11C06">
        <w:rPr>
          <w:i/>
          <w:iCs/>
        </w:rPr>
        <w:t xml:space="preserve"> </w:t>
      </w:r>
      <w:r w:rsidR="00960187" w:rsidRPr="00B336B3">
        <w:t>Certified by</w:t>
      </w:r>
      <w:r w:rsidR="00960187" w:rsidRPr="00D11C06">
        <w:rPr>
          <w:i/>
          <w:iCs/>
        </w:rPr>
        <w:t xml:space="preserve"> </w:t>
      </w:r>
      <w:r w:rsidR="00C6278D" w:rsidRPr="00D11C06">
        <w:rPr>
          <w:i/>
          <w:iCs/>
        </w:rPr>
        <w:t>Eagle Registrations</w:t>
      </w:r>
      <w:r w:rsidR="00960187" w:rsidRPr="00D11C06">
        <w:rPr>
          <w:i/>
          <w:iCs/>
        </w:rPr>
        <w:t xml:space="preserve"> (</w:t>
      </w:r>
      <w:r w:rsidR="00D11C06" w:rsidRPr="00D11C06">
        <w:rPr>
          <w:i/>
          <w:iCs/>
        </w:rPr>
        <w:t>Cert#6026)</w:t>
      </w:r>
      <w:r w:rsidR="00C6278D" w:rsidRPr="00D11C06">
        <w:rPr>
          <w:i/>
          <w:iCs/>
        </w:rPr>
        <w:t xml:space="preserve">. </w:t>
      </w:r>
    </w:p>
    <w:p w14:paraId="33B2D9C3" w14:textId="25FC98BA" w:rsidR="003C36B3" w:rsidRPr="00D11C06" w:rsidRDefault="003C36B3" w:rsidP="003C36B3">
      <w:pPr>
        <w:pStyle w:val="ListParagraph"/>
        <w:numPr>
          <w:ilvl w:val="1"/>
          <w:numId w:val="2"/>
        </w:numPr>
        <w:spacing w:line="240" w:lineRule="auto"/>
        <w:ind w:left="630"/>
      </w:pPr>
      <w:r>
        <w:t>T</w:t>
      </w:r>
      <w:r w:rsidRPr="00D11C06">
        <w:t xml:space="preserve">op </w:t>
      </w:r>
      <w:r w:rsidR="00FC3548">
        <w:t>I</w:t>
      </w:r>
      <w:r w:rsidRPr="00D11C06">
        <w:t xml:space="preserve">ndustry </w:t>
      </w:r>
      <w:r w:rsidR="00FC3548">
        <w:t>H</w:t>
      </w:r>
      <w:r w:rsidRPr="00D11C06">
        <w:t>onor</w:t>
      </w:r>
      <w:r>
        <w:t>s</w:t>
      </w:r>
      <w:r w:rsidRPr="00D11C06">
        <w:t xml:space="preserve">: </w:t>
      </w:r>
      <w:r w:rsidRPr="00DE657C">
        <w:rPr>
          <w:i/>
          <w:iCs/>
          <w:u w:val="single"/>
        </w:rPr>
        <w:t>GOLD</w:t>
      </w:r>
      <w:r w:rsidRPr="00D11C06">
        <w:rPr>
          <w:i/>
          <w:iCs/>
        </w:rPr>
        <w:t xml:space="preserve"> Medical Design Excellence Award (2018), R&amp;D100 (2016)</w:t>
      </w:r>
    </w:p>
    <w:p w14:paraId="443EB433" w14:textId="40433B1B" w:rsidR="00C6278D" w:rsidRPr="00D11C06" w:rsidRDefault="00C6278D" w:rsidP="00C6278D">
      <w:pPr>
        <w:pStyle w:val="ListParagraph"/>
        <w:numPr>
          <w:ilvl w:val="0"/>
          <w:numId w:val="2"/>
        </w:numPr>
        <w:spacing w:line="240" w:lineRule="auto"/>
        <w:ind w:left="360"/>
        <w:rPr>
          <w:b/>
          <w:bCs/>
        </w:rPr>
      </w:pPr>
      <w:r w:rsidRPr="00D11C06">
        <w:rPr>
          <w:b/>
          <w:bCs/>
        </w:rPr>
        <w:t>Acceptance &amp; Adoption:</w:t>
      </w:r>
    </w:p>
    <w:p w14:paraId="48D1A881" w14:textId="12516C2F" w:rsidR="00A364EF" w:rsidRPr="00D11C06" w:rsidRDefault="00A364EF" w:rsidP="00A364EF">
      <w:pPr>
        <w:pStyle w:val="ListParagraph"/>
        <w:numPr>
          <w:ilvl w:val="1"/>
          <w:numId w:val="2"/>
        </w:numPr>
        <w:spacing w:line="240" w:lineRule="auto"/>
        <w:ind w:left="630"/>
      </w:pPr>
      <w:r>
        <w:t>M</w:t>
      </w:r>
      <w:r w:rsidRPr="00D11C06">
        <w:t>arket entry in 2016</w:t>
      </w:r>
    </w:p>
    <w:p w14:paraId="052BFFFF" w14:textId="34D59D31" w:rsidR="00756F13" w:rsidRPr="00D11C06" w:rsidRDefault="00756F13" w:rsidP="00756F13">
      <w:pPr>
        <w:pStyle w:val="ListParagraph"/>
        <w:numPr>
          <w:ilvl w:val="1"/>
          <w:numId w:val="2"/>
        </w:numPr>
        <w:spacing w:line="240" w:lineRule="auto"/>
        <w:ind w:left="630"/>
      </w:pPr>
      <w:r w:rsidRPr="00D11C06">
        <w:t>Several thousand Obi</w:t>
      </w:r>
      <w:r>
        <w:t>s</w:t>
      </w:r>
      <w:r w:rsidRPr="00D11C06">
        <w:t xml:space="preserve"> have been </w:t>
      </w:r>
      <w:r>
        <w:t xml:space="preserve">recommended by OTs, </w:t>
      </w:r>
      <w:r w:rsidRPr="00D11C06">
        <w:t>prescribed by physicians</w:t>
      </w:r>
      <w:r>
        <w:t xml:space="preserve">, and funded by the US healthcare system </w:t>
      </w:r>
      <w:r w:rsidRPr="007F74BA">
        <w:rPr>
          <w:i/>
          <w:iCs/>
        </w:rPr>
        <w:t>(V</w:t>
      </w:r>
      <w:r w:rsidR="007F74BA" w:rsidRPr="007F74BA">
        <w:rPr>
          <w:i/>
          <w:iCs/>
        </w:rPr>
        <w:t>eterans Health Administration</w:t>
      </w:r>
      <w:r w:rsidRPr="007F74BA">
        <w:rPr>
          <w:i/>
          <w:iCs/>
        </w:rPr>
        <w:t>, Medicaid</w:t>
      </w:r>
      <w:r>
        <w:t>, private insurance, etc.).</w:t>
      </w:r>
      <w:r w:rsidRPr="00D11C06">
        <w:t xml:space="preserve"> </w:t>
      </w:r>
    </w:p>
    <w:p w14:paraId="040899EE" w14:textId="3295132C" w:rsidR="00756F13" w:rsidRPr="00D11C06" w:rsidRDefault="00756F13" w:rsidP="00756F13">
      <w:pPr>
        <w:pStyle w:val="ListParagraph"/>
        <w:numPr>
          <w:ilvl w:val="1"/>
          <w:numId w:val="2"/>
        </w:numPr>
        <w:spacing w:line="240" w:lineRule="auto"/>
        <w:ind w:left="630"/>
      </w:pPr>
      <w:r>
        <w:t xml:space="preserve">Several thousand Obis have been recommended by OTs </w:t>
      </w:r>
      <w:r w:rsidRPr="00D11C06">
        <w:t xml:space="preserve">and </w:t>
      </w:r>
      <w:r>
        <w:t xml:space="preserve">funded internationally across more than </w:t>
      </w:r>
      <w:r w:rsidRPr="00D11C06">
        <w:t>20 countries.</w:t>
      </w:r>
    </w:p>
    <w:p w14:paraId="4DA29BB9" w14:textId="2A7E0444" w:rsidR="00963278" w:rsidRDefault="0094057A" w:rsidP="00A44D2F">
      <w:r>
        <w:rPr>
          <w:b/>
          <w:bCs/>
        </w:rPr>
        <w:t>Pre-Screening</w:t>
      </w:r>
      <w:r w:rsidR="00E90144">
        <w:rPr>
          <w:b/>
          <w:bCs/>
        </w:rPr>
        <w:t>:</w:t>
      </w:r>
      <w:r w:rsidR="00CB6855">
        <w:rPr>
          <w:b/>
          <w:bCs/>
        </w:rPr>
        <w:t xml:space="preserve"> </w:t>
      </w:r>
      <w:r w:rsidR="00773A15">
        <w:t>T</w:t>
      </w:r>
      <w:r w:rsidR="00FD5361">
        <w:t>he World Health Organization’s International Classification of Functioning Disability and Health (IFC) defin</w:t>
      </w:r>
      <w:r w:rsidR="00773A15">
        <w:t>es functional</w:t>
      </w:r>
      <w:r w:rsidR="00FD5361">
        <w:t xml:space="preserve"> eating</w:t>
      </w:r>
      <w:r w:rsidR="00773A15">
        <w:t xml:space="preserve"> and its impairment a disability</w:t>
      </w:r>
      <w:r w:rsidR="00FD5361">
        <w:t>. Th</w:t>
      </w:r>
      <w:r w:rsidR="00773A15">
        <w:t>e eating</w:t>
      </w:r>
      <w:r w:rsidR="00FD5361">
        <w:t xml:space="preserve"> definition</w:t>
      </w:r>
      <w:r w:rsidR="00773A15">
        <w:t xml:space="preserve"> emphasizes independence (self-care), and</w:t>
      </w:r>
      <w:r w:rsidR="00FD5361">
        <w:t xml:space="preserve"> specifies the ability to “carry out the coordinated tasks and actions of eating food that has been served, bringing it to the mouth and consuming it in a culturally acceptable way</w:t>
      </w:r>
      <w:r w:rsidR="006804D1">
        <w:t xml:space="preserve"> </w:t>
      </w:r>
      <w:r w:rsidR="006804D1">
        <w:fldChar w:fldCharType="begin"/>
      </w:r>
      <w:r w:rsidR="00263A23">
        <w:instrText xml:space="preserve"> ADDIN ZOTERO_ITEM CSL_CITATION {"citationID":"XlDA9Qkc","properties":{"formattedCitation":"[4]","plainCitation":"[4]","noteIndex":0},"citationItems":[{"id":1049,"uris":["http://zotero.org/groups/5496641/items/QP9U99DD"],"itemData":{"id":1049,"type":"book","event-place":"Geneva, Switzerland","note":"D550","publisher":"World Health Organization","publisher-place":"Geneva, Switzerland","title":"International Classification of Functioning Disability and Health (ICF)","URL":"https://www.who.int/standards/classifications/international-classification-of-functioning-disability-and-health","issued":{"date-parts":[["2001"]],"season":"R2018"}}}],"schema":"https://github.com/citation-style-language/schema/raw/master/csl-citation.json"} </w:instrText>
      </w:r>
      <w:r w:rsidR="006804D1">
        <w:fldChar w:fldCharType="separate"/>
      </w:r>
      <w:r w:rsidR="00263A23" w:rsidRPr="00263A23">
        <w:rPr>
          <w:rFonts w:ascii="Calibri" w:hAnsi="Calibri" w:cs="Calibri"/>
        </w:rPr>
        <w:t>[4]</w:t>
      </w:r>
      <w:r w:rsidR="006804D1">
        <w:fldChar w:fldCharType="end"/>
      </w:r>
      <w:r w:rsidR="00FD5361">
        <w:t>.”</w:t>
      </w:r>
      <w:r w:rsidR="00773A15">
        <w:rPr>
          <w:rFonts w:cstheme="minorHAnsi"/>
        </w:rPr>
        <w:t xml:space="preserve"> </w:t>
      </w:r>
      <w:r w:rsidR="00375388">
        <w:rPr>
          <w:rFonts w:cstheme="minorHAnsi"/>
        </w:rPr>
        <w:t>Accordingly, m</w:t>
      </w:r>
      <w:r w:rsidR="00375388" w:rsidRPr="00AF4AD8">
        <w:rPr>
          <w:rFonts w:cstheme="minorHAnsi"/>
        </w:rPr>
        <w:t xml:space="preserve">y patient was </w:t>
      </w:r>
      <w:r w:rsidR="00375388">
        <w:rPr>
          <w:rFonts w:cstheme="minorHAnsi"/>
        </w:rPr>
        <w:t>assessed</w:t>
      </w:r>
      <w:r w:rsidR="00375388" w:rsidRPr="00AF4AD8">
        <w:rPr>
          <w:rFonts w:cstheme="minorHAnsi"/>
        </w:rPr>
        <w:t xml:space="preserve"> for their level of eating disability in accordance with </w:t>
      </w:r>
      <w:r w:rsidR="00375388">
        <w:rPr>
          <w:rFonts w:cstheme="minorHAnsi"/>
        </w:rPr>
        <w:t>the</w:t>
      </w:r>
      <w:r w:rsidR="00375388" w:rsidRPr="00AF4AD8">
        <w:rPr>
          <w:rFonts w:cstheme="minorHAnsi"/>
        </w:rPr>
        <w:t xml:space="preserve"> ICF performance </w:t>
      </w:r>
      <w:r w:rsidR="00375388">
        <w:rPr>
          <w:rFonts w:cstheme="minorHAnsi"/>
        </w:rPr>
        <w:t xml:space="preserve">assessment </w:t>
      </w:r>
      <w:r w:rsidR="00375388">
        <w:rPr>
          <w:rFonts w:cstheme="minorHAnsi"/>
          <w:kern w:val="0"/>
        </w:rPr>
        <w:t>framework</w:t>
      </w:r>
      <w:r w:rsidR="00375388" w:rsidRPr="006D1021">
        <w:rPr>
          <w:rFonts w:cstheme="minorHAnsi"/>
          <w:kern w:val="0"/>
        </w:rPr>
        <w:t xml:space="preserve">, which denotes a magnitude of the level of health </w:t>
      </w:r>
      <w:r w:rsidR="00375388">
        <w:rPr>
          <w:rFonts w:cstheme="minorHAnsi"/>
          <w:kern w:val="0"/>
        </w:rPr>
        <w:t xml:space="preserve">impairment </w:t>
      </w:r>
      <w:r w:rsidR="00375388" w:rsidRPr="006D1021">
        <w:rPr>
          <w:rFonts w:cstheme="minorHAnsi"/>
          <w:kern w:val="0"/>
        </w:rPr>
        <w:t>(e.g. severity of the problem)</w:t>
      </w:r>
      <w:r w:rsidR="007B01AB" w:rsidRPr="006D1021">
        <w:rPr>
          <w:rFonts w:cstheme="minorHAnsi"/>
          <w:kern w:val="0"/>
        </w:rPr>
        <w:t xml:space="preserve">. </w:t>
      </w:r>
      <w:r w:rsidRPr="00AF4AD8">
        <w:rPr>
          <w:rFonts w:cstheme="minorHAnsi"/>
        </w:rPr>
        <w:t xml:space="preserve">My </w:t>
      </w:r>
      <w:r w:rsidR="00773A15">
        <w:rPr>
          <w:rFonts w:cstheme="minorHAnsi"/>
        </w:rPr>
        <w:t>patient was determined to have, without a doubt,</w:t>
      </w:r>
      <w:r w:rsidR="000705B6" w:rsidRPr="00AF4AD8">
        <w:rPr>
          <w:rFonts w:cstheme="minorHAnsi"/>
        </w:rPr>
        <w:t xml:space="preserve"> complete functional eating impairment</w:t>
      </w:r>
      <w:r w:rsidR="00DC4475">
        <w:rPr>
          <w:rFonts w:cstheme="minorHAnsi"/>
        </w:rPr>
        <w:t xml:space="preserve"> (complete disability)</w:t>
      </w:r>
      <w:r w:rsidR="006D1021" w:rsidRPr="006D1021">
        <w:t xml:space="preserve">. </w:t>
      </w:r>
    </w:p>
    <w:p w14:paraId="1BA5AD45" w14:textId="77777777" w:rsidR="008A2803" w:rsidRPr="008A2803" w:rsidRDefault="008A2803" w:rsidP="008A2803">
      <w:r w:rsidRPr="008A2803">
        <w:t xml:space="preserve">While my patient displays the appropriate cognitive ability and oral motor control for functional eating, the required range of motion, fine motor precision, and dexterity to hold a utensil to functionally eat is not achievable due to </w:t>
      </w:r>
      <w:sdt>
        <w:sdtPr>
          <w:id w:val="1178464763"/>
          <w:placeholder>
            <w:docPart w:val="59081730FFF24203892F7F6A01DD0D77"/>
          </w:placeholder>
          <w:showingPlcHdr/>
          <w:text/>
        </w:sdtPr>
        <w:sdtContent>
          <w:r w:rsidRPr="008A2803">
            <w:rPr>
              <w:color w:val="00B0F0"/>
            </w:rPr>
            <w:t>[INSERT DIAGNOSIS]</w:t>
          </w:r>
        </w:sdtContent>
      </w:sdt>
      <w:r w:rsidRPr="008A2803">
        <w:t xml:space="preserve">. In such instances, my patient lacks the independence to choose what to eat or drink and when. The level of support required at mealtime also affects </w:t>
      </w:r>
      <w:sdt>
        <w:sdtPr>
          <w:id w:val="-2024315727"/>
          <w:placeholder>
            <w:docPart w:val="17A7A7E9443843CBA067527184F756D6"/>
          </w:placeholder>
          <w:showingPlcHdr/>
          <w:text/>
        </w:sdtPr>
        <w:sdtEndPr>
          <w:rPr>
            <w:color w:val="00B0F0"/>
          </w:rPr>
        </w:sdtEndPr>
        <w:sdtContent>
          <w:r w:rsidRPr="008A2803">
            <w:rPr>
              <w:color w:val="00B0F0"/>
            </w:rPr>
            <w:t>[INSERT PATIENT NAME]</w:t>
          </w:r>
        </w:sdtContent>
      </w:sdt>
      <w:r w:rsidRPr="008A2803">
        <w:t xml:space="preserve"> developmentally appropriate social engagement with peers in their home and community. </w:t>
      </w:r>
    </w:p>
    <w:p w14:paraId="6A2B1AE0" w14:textId="2D44E91A" w:rsidR="006804D1" w:rsidRDefault="009439D4" w:rsidP="00A44D2F">
      <w:pPr>
        <w:rPr>
          <w:rFonts w:cstheme="minorHAnsi"/>
        </w:rPr>
      </w:pPr>
      <w:r>
        <w:rPr>
          <w:rFonts w:cstheme="minorHAnsi"/>
        </w:rPr>
        <w:lastRenderedPageBreak/>
        <w:t xml:space="preserve">Moreover, </w:t>
      </w:r>
      <w:r w:rsidR="00561D14">
        <w:rPr>
          <w:rFonts w:cstheme="minorHAnsi"/>
        </w:rPr>
        <w:t>m</w:t>
      </w:r>
      <w:r w:rsidRPr="00AF4AD8">
        <w:rPr>
          <w:rFonts w:cstheme="minorHAnsi"/>
        </w:rPr>
        <w:t xml:space="preserve">y patient was not able to </w:t>
      </w:r>
      <w:r>
        <w:rPr>
          <w:rFonts w:cstheme="minorHAnsi"/>
        </w:rPr>
        <w:t xml:space="preserve">alleviate their eating disability </w:t>
      </w:r>
      <w:r w:rsidRPr="00AF4AD8">
        <w:rPr>
          <w:rFonts w:cstheme="minorHAnsi"/>
        </w:rPr>
        <w:t xml:space="preserve">through all lower cost self-feeding products, </w:t>
      </w:r>
      <w:r>
        <w:rPr>
          <w:rFonts w:cstheme="minorHAnsi"/>
        </w:rPr>
        <w:t xml:space="preserve">and </w:t>
      </w:r>
      <w:r w:rsidRPr="00AF4AD8">
        <w:rPr>
          <w:rFonts w:cstheme="minorHAnsi"/>
        </w:rPr>
        <w:t>adaptive methods</w:t>
      </w:r>
      <w:r>
        <w:rPr>
          <w:rFonts w:cstheme="minorHAnsi"/>
        </w:rPr>
        <w:t xml:space="preserve"> such as scooper bowls, </w:t>
      </w:r>
      <w:r w:rsidR="00A465A9">
        <w:rPr>
          <w:rFonts w:cstheme="minorHAnsi"/>
        </w:rPr>
        <w:t>adaptive</w:t>
      </w:r>
      <w:r>
        <w:rPr>
          <w:rFonts w:cstheme="minorHAnsi"/>
        </w:rPr>
        <w:t xml:space="preserve"> utensils, arm supports or </w:t>
      </w:r>
      <w:r w:rsidRPr="00AF4AD8">
        <w:rPr>
          <w:rFonts w:cstheme="minorHAnsi"/>
        </w:rPr>
        <w:t xml:space="preserve">caregiver </w:t>
      </w:r>
      <w:r>
        <w:rPr>
          <w:rFonts w:cstheme="minorHAnsi"/>
        </w:rPr>
        <w:t>feeding</w:t>
      </w:r>
      <w:r w:rsidRPr="00AF4AD8">
        <w:rPr>
          <w:rFonts w:cstheme="minorHAnsi"/>
        </w:rPr>
        <w:t>.</w:t>
      </w:r>
      <w:r w:rsidR="004D7D60">
        <w:rPr>
          <w:rFonts w:cstheme="minorHAnsi"/>
        </w:rPr>
        <w:t xml:space="preserve"> N</w:t>
      </w:r>
      <w:r w:rsidR="004D7D60" w:rsidRPr="004D7D60">
        <w:rPr>
          <w:rFonts w:cstheme="minorHAnsi"/>
        </w:rPr>
        <w:t xml:space="preserve">one of these options allowed for </w:t>
      </w:r>
      <w:r w:rsidR="004D7D60">
        <w:rPr>
          <w:rFonts w:cstheme="minorHAnsi"/>
        </w:rPr>
        <w:t>improved</w:t>
      </w:r>
      <w:r w:rsidR="004D7D60" w:rsidRPr="004D7D60">
        <w:rPr>
          <w:rFonts w:cstheme="minorHAnsi"/>
        </w:rPr>
        <w:t xml:space="preserve"> independence and safety. For example, </w:t>
      </w:r>
      <w:sdt>
        <w:sdtPr>
          <w:rPr>
            <w:rFonts w:cstheme="minorHAnsi"/>
          </w:rPr>
          <w:id w:val="1311365299"/>
          <w:placeholder>
            <w:docPart w:val="FA71498802324D448CBF5EE07D8E979D"/>
          </w:placeholder>
          <w:showingPlcHdr/>
          <w:text/>
        </w:sdtPr>
        <w:sdtContent>
          <w:r w:rsidR="00FB2E0A" w:rsidRPr="00FB2E0A">
            <w:rPr>
              <w:rStyle w:val="PlaceholderText"/>
              <w:color w:val="00B0F0"/>
            </w:rPr>
            <w:t>[ADD SPECIFIC EQUIPMENT]</w:t>
          </w:r>
        </w:sdtContent>
      </w:sdt>
      <w:r w:rsidR="00FB2E0A">
        <w:rPr>
          <w:rFonts w:cstheme="minorHAnsi"/>
        </w:rPr>
        <w:t xml:space="preserve"> </w:t>
      </w:r>
      <w:r w:rsidR="004D7D60">
        <w:rPr>
          <w:rFonts w:cstheme="minorHAnsi"/>
        </w:rPr>
        <w:t>does not allow</w:t>
      </w:r>
      <w:r w:rsidR="004D7D60" w:rsidRPr="004D7D60">
        <w:rPr>
          <w:rFonts w:cstheme="minorHAnsi"/>
        </w:rPr>
        <w:t xml:space="preserve"> </w:t>
      </w:r>
      <w:r w:rsidR="004D7D60">
        <w:rPr>
          <w:rFonts w:cstheme="minorHAnsi"/>
        </w:rPr>
        <w:t xml:space="preserve">food to be brought to their </w:t>
      </w:r>
      <w:r w:rsidR="004D7D60" w:rsidRPr="004D7D60">
        <w:rPr>
          <w:rFonts w:cstheme="minorHAnsi"/>
        </w:rPr>
        <w:t>mouth</w:t>
      </w:r>
      <w:r w:rsidR="004D7D60" w:rsidRPr="00AF1A96">
        <w:rPr>
          <w:rFonts w:cstheme="minorHAnsi"/>
        </w:rPr>
        <w:t>.</w:t>
      </w:r>
      <w:commentRangeStart w:id="0"/>
      <w:r w:rsidR="006804D1" w:rsidRPr="00172719">
        <w:rPr>
          <w:rFonts w:cstheme="minorHAnsi"/>
        </w:rPr>
        <w:t xml:space="preserve"> In this event, my patient exhibits compensatory movements, such as exhibiting hyperextension of the head and neck, which leads to airway interference and heightened risk of aspiration</w:t>
      </w:r>
      <w:r w:rsidR="00172719">
        <w:rPr>
          <w:rFonts w:cstheme="minorHAnsi"/>
        </w:rPr>
        <w:t xml:space="preserve"> </w:t>
      </w:r>
      <w:r w:rsidR="00172719">
        <w:rPr>
          <w:rFonts w:cstheme="minorHAnsi"/>
        </w:rPr>
        <w:fldChar w:fldCharType="begin"/>
      </w:r>
      <w:r w:rsidR="00263A23">
        <w:rPr>
          <w:rFonts w:cstheme="minorHAnsi"/>
        </w:rPr>
        <w:instrText xml:space="preserve"> ADDIN ZOTERO_ITEM CSL_CITATION {"citationID":"1mtEdNLy","properties":{"formattedCitation":"[5]","plainCitation":"[5]","noteIndex":0},"citationItems":[{"id":313,"uris":["http://zotero.org/users/13970490/items/SAWXD9SJ"],"itemData":{"id":313,"type":"article-journal","abstract":"Children with cerebral palsy and other neurodisabilities often have decreased postural control that exacerbates their feeding/swallowing disorders. Correct postural alignment is important in the normal feeding/swallowing process. In the child with cerebral palsy, the alignment and stability of the oral structures for feeding/swallowing may be compromised by abnormal muscle tone and movement patterns. Effective oral functioning for feeding begins with attaining better head stability to improve jaw control. Head control is influenced by trunk alignment, which depends upon the stability of the pelvic area. Techniques such as therapeutic seating and oral control can enhance postural alignment and improve oral functioning for the safe intake of food.","container-title":"Pediatric nursing","issue":"2","page":"97-100","title":"The importance of postural control for feeding.","volume":"30","author":[{"family":"Redstone","given":"Fran"},{"family":"West","given":"Joyce F."}],"issued":{"date-parts":[["2004"]]}}}],"schema":"https://github.com/citation-style-language/schema/raw/master/csl-citation.json"} </w:instrText>
      </w:r>
      <w:r w:rsidR="00172719">
        <w:rPr>
          <w:rFonts w:cstheme="minorHAnsi"/>
        </w:rPr>
        <w:fldChar w:fldCharType="separate"/>
      </w:r>
      <w:r w:rsidR="00263A23" w:rsidRPr="00263A23">
        <w:rPr>
          <w:rFonts w:ascii="Calibri" w:hAnsi="Calibri" w:cs="Calibri"/>
        </w:rPr>
        <w:t>[5]</w:t>
      </w:r>
      <w:r w:rsidR="00172719">
        <w:rPr>
          <w:rFonts w:cstheme="minorHAnsi"/>
        </w:rPr>
        <w:fldChar w:fldCharType="end"/>
      </w:r>
      <w:r w:rsidR="006804D1" w:rsidRPr="00172719">
        <w:rPr>
          <w:rFonts w:cstheme="minorHAnsi"/>
        </w:rPr>
        <w:t>. My patient demonstrates the same hazardous compensatory pattern while attempting to hold onto and drink from a cup to self-hydrate.</w:t>
      </w:r>
      <w:commentRangeEnd w:id="0"/>
      <w:r w:rsidR="006804D1" w:rsidRPr="00172719">
        <w:rPr>
          <w:rStyle w:val="CommentReference"/>
        </w:rPr>
        <w:commentReference w:id="0"/>
      </w:r>
    </w:p>
    <w:p w14:paraId="17F3EBC7" w14:textId="5ACCEF57" w:rsidR="00476363" w:rsidRPr="00476363" w:rsidRDefault="00F36738" w:rsidP="00A44D2F">
      <w:pPr>
        <w:rPr>
          <w:b/>
          <w:bCs/>
        </w:rPr>
      </w:pPr>
      <w:r w:rsidRPr="00476363">
        <w:rPr>
          <w:rFonts w:cstheme="minorHAnsi"/>
        </w:rPr>
        <w:t>While c</w:t>
      </w:r>
      <w:r w:rsidR="0003666E" w:rsidRPr="00476363">
        <w:rPr>
          <w:rFonts w:cstheme="minorHAnsi"/>
        </w:rPr>
        <w:t xml:space="preserve">aregiver </w:t>
      </w:r>
      <w:r w:rsidR="00026C2F" w:rsidRPr="00476363">
        <w:rPr>
          <w:rFonts w:cstheme="minorHAnsi"/>
        </w:rPr>
        <w:t>assistance</w:t>
      </w:r>
      <w:r w:rsidR="0003666E" w:rsidRPr="00476363">
        <w:rPr>
          <w:rFonts w:cstheme="minorHAnsi"/>
        </w:rPr>
        <w:t xml:space="preserve"> </w:t>
      </w:r>
      <w:r w:rsidRPr="00476363">
        <w:rPr>
          <w:rFonts w:cstheme="minorHAnsi"/>
        </w:rPr>
        <w:t xml:space="preserve">may </w:t>
      </w:r>
      <w:r w:rsidR="0003666E" w:rsidRPr="00476363">
        <w:rPr>
          <w:rFonts w:cstheme="minorHAnsi"/>
        </w:rPr>
        <w:t xml:space="preserve">facilitate independent eating </w:t>
      </w:r>
      <w:r w:rsidR="009439D4" w:rsidRPr="00476363">
        <w:rPr>
          <w:rFonts w:cstheme="minorHAnsi"/>
        </w:rPr>
        <w:t>with milder forms of</w:t>
      </w:r>
      <w:r w:rsidR="00026C2F" w:rsidRPr="00476363">
        <w:rPr>
          <w:rFonts w:cstheme="minorHAnsi"/>
        </w:rPr>
        <w:t xml:space="preserve"> UEMI</w:t>
      </w:r>
      <w:r w:rsidR="008A2803">
        <w:rPr>
          <w:rFonts w:cstheme="minorHAnsi"/>
        </w:rPr>
        <w:t xml:space="preserve"> (such as with hand over hand feeding)</w:t>
      </w:r>
      <w:r w:rsidRPr="00476363">
        <w:rPr>
          <w:rFonts w:cstheme="minorHAnsi"/>
        </w:rPr>
        <w:t xml:space="preserve">, </w:t>
      </w:r>
      <w:r w:rsidR="0003666E" w:rsidRPr="00476363">
        <w:rPr>
          <w:rFonts w:cstheme="minorHAnsi"/>
        </w:rPr>
        <w:t>my patient</w:t>
      </w:r>
      <w:r w:rsidR="00C23B84" w:rsidRPr="00476363">
        <w:rPr>
          <w:rFonts w:cstheme="minorHAnsi"/>
        </w:rPr>
        <w:t xml:space="preserve"> has a </w:t>
      </w:r>
      <w:r w:rsidR="0003666E" w:rsidRPr="00476363">
        <w:rPr>
          <w:rFonts w:cstheme="minorHAnsi"/>
        </w:rPr>
        <w:t>sever</w:t>
      </w:r>
      <w:r w:rsidR="00C23B84" w:rsidRPr="00476363">
        <w:rPr>
          <w:rFonts w:cstheme="minorHAnsi"/>
        </w:rPr>
        <w:t xml:space="preserve">e </w:t>
      </w:r>
      <w:r w:rsidR="002413B7" w:rsidRPr="00476363">
        <w:rPr>
          <w:rFonts w:cstheme="minorHAnsi"/>
        </w:rPr>
        <w:t xml:space="preserve">to complete </w:t>
      </w:r>
      <w:r w:rsidR="00C23B84" w:rsidRPr="00476363">
        <w:rPr>
          <w:rFonts w:cstheme="minorHAnsi"/>
        </w:rPr>
        <w:t>disability</w:t>
      </w:r>
      <w:r w:rsidRPr="00476363">
        <w:rPr>
          <w:rFonts w:cstheme="minorHAnsi"/>
        </w:rPr>
        <w:t>. For this reason, it</w:t>
      </w:r>
      <w:r w:rsidR="00C23B84" w:rsidRPr="00476363">
        <w:rPr>
          <w:rFonts w:cstheme="minorHAnsi"/>
        </w:rPr>
        <w:t xml:space="preserve"> </w:t>
      </w:r>
      <w:r w:rsidRPr="00476363">
        <w:rPr>
          <w:rFonts w:cstheme="minorHAnsi"/>
        </w:rPr>
        <w:t xml:space="preserve">is </w:t>
      </w:r>
      <w:r w:rsidR="009439D4" w:rsidRPr="00476363">
        <w:rPr>
          <w:rFonts w:cstheme="minorHAnsi"/>
        </w:rPr>
        <w:t xml:space="preserve">impossible for </w:t>
      </w:r>
      <w:r w:rsidRPr="00476363">
        <w:rPr>
          <w:rFonts w:cstheme="minorHAnsi"/>
        </w:rPr>
        <w:t>a caregiver</w:t>
      </w:r>
      <w:r w:rsidR="009439D4" w:rsidRPr="00476363">
        <w:rPr>
          <w:rFonts w:cstheme="minorHAnsi"/>
        </w:rPr>
        <w:t xml:space="preserve"> to </w:t>
      </w:r>
      <w:r w:rsidR="0003666E" w:rsidRPr="00476363">
        <w:rPr>
          <w:rFonts w:cstheme="minorHAnsi"/>
        </w:rPr>
        <w:t>restor</w:t>
      </w:r>
      <w:r w:rsidR="009439D4" w:rsidRPr="00476363">
        <w:rPr>
          <w:rFonts w:cstheme="minorHAnsi"/>
        </w:rPr>
        <w:t xml:space="preserve">e </w:t>
      </w:r>
      <w:r w:rsidR="008A2803" w:rsidRPr="00476363">
        <w:rPr>
          <w:rFonts w:cstheme="minorHAnsi"/>
        </w:rPr>
        <w:t>independence</w:t>
      </w:r>
      <w:r w:rsidR="009439D4" w:rsidRPr="00476363">
        <w:rPr>
          <w:rFonts w:cstheme="minorHAnsi"/>
        </w:rPr>
        <w:t xml:space="preserve"> associated with </w:t>
      </w:r>
      <w:r w:rsidR="00A465A9" w:rsidRPr="00476363">
        <w:rPr>
          <w:rFonts w:cstheme="minorHAnsi"/>
        </w:rPr>
        <w:t xml:space="preserve">the </w:t>
      </w:r>
      <w:r w:rsidR="009439D4" w:rsidRPr="00476363">
        <w:rPr>
          <w:rFonts w:cstheme="minorHAnsi"/>
        </w:rPr>
        <w:t>function</w:t>
      </w:r>
      <w:r w:rsidR="00A465A9" w:rsidRPr="00476363">
        <w:rPr>
          <w:rFonts w:cstheme="minorHAnsi"/>
        </w:rPr>
        <w:t>s of</w:t>
      </w:r>
      <w:r w:rsidR="009439D4" w:rsidRPr="00476363">
        <w:rPr>
          <w:rFonts w:cstheme="minorHAnsi"/>
        </w:rPr>
        <w:t xml:space="preserve"> eating</w:t>
      </w:r>
      <w:r w:rsidR="00A465A9" w:rsidRPr="00476363">
        <w:rPr>
          <w:rFonts w:cstheme="minorHAnsi"/>
        </w:rPr>
        <w:t xml:space="preserve"> as s</w:t>
      </w:r>
      <w:r w:rsidR="00DD1060" w:rsidRPr="00476363">
        <w:rPr>
          <w:rFonts w:cstheme="minorHAnsi"/>
        </w:rPr>
        <w:t>ubstantiated</w:t>
      </w:r>
      <w:r w:rsidR="00A465A9" w:rsidRPr="00476363">
        <w:rPr>
          <w:rFonts w:cstheme="minorHAnsi"/>
        </w:rPr>
        <w:t xml:space="preserve"> by the ICF</w:t>
      </w:r>
      <w:r w:rsidR="00026C2F" w:rsidRPr="00476363">
        <w:rPr>
          <w:rFonts w:cstheme="minorHAnsi"/>
        </w:rPr>
        <w:t>.</w:t>
      </w:r>
      <w:r w:rsidRPr="00476363">
        <w:rPr>
          <w:rFonts w:cstheme="minorHAnsi"/>
        </w:rPr>
        <w:t xml:space="preserve"> </w:t>
      </w:r>
      <w:r w:rsidR="00B872E5">
        <w:t xml:space="preserve">Further, the eating experience of my patient is currently dependent on the patience and </w:t>
      </w:r>
      <w:r w:rsidR="001B36D6">
        <w:t xml:space="preserve">feeding </w:t>
      </w:r>
      <w:r w:rsidR="00B872E5">
        <w:t xml:space="preserve">skill of </w:t>
      </w:r>
      <w:r w:rsidR="001B36D6">
        <w:t>a</w:t>
      </w:r>
      <w:r w:rsidR="00B872E5">
        <w:t xml:space="preserve"> caregiver [6] which </w:t>
      </w:r>
      <w:r w:rsidR="00B2061E">
        <w:t>has health risks for my patient</w:t>
      </w:r>
      <w:r w:rsidR="00B872E5">
        <w:t>. Unhealthy feeding patterns and forced or fast feeding by others has been respectively linked to complications such as aspiration or aspiration pneumonia</w:t>
      </w:r>
      <w:r w:rsidR="00172719">
        <w:rPr>
          <w:rFonts w:ascii="Calibri" w:hAnsi="Calibri" w:cs="Calibri"/>
        </w:rPr>
        <w:t xml:space="preserve"> </w:t>
      </w:r>
      <w:r w:rsidR="00172719">
        <w:rPr>
          <w:rFonts w:ascii="Calibri" w:hAnsi="Calibri" w:cs="Calibri"/>
        </w:rPr>
        <w:fldChar w:fldCharType="begin"/>
      </w:r>
      <w:r w:rsidR="00263A23">
        <w:rPr>
          <w:rFonts w:ascii="Calibri" w:hAnsi="Calibri" w:cs="Calibri"/>
        </w:rPr>
        <w:instrText xml:space="preserve"> ADDIN ZOTERO_ITEM CSL_CITATION {"citationID":"PT4St0cd","properties":{"formattedCitation":"[6]","plainCitation":"[6]","noteIndex":0},"citationItems":[{"id":274,"uris":["http://zotero.org/users/13970490/items/BUEXB8V5"],"itemData":{"id":274,"type":"article-journal","abstract":"Aspiration pneumonia is a major cause of morbidity and mortality among the elderly who are hospitalized or in nursing homes. Multiple risk factors for pneumonia have been identified, but no study has effectively compared the relative risk of factors in several different categories, including dysphagia. In this prospective outcomes study, 189 elderly subjects were recruited from the outpatient clinics, inpatient acute care wards, and the nursing home care center at the VA Medical Center in Ann Arbor, Michigan. They were given a variety of assessments to determine oropharyngeal and esophageal swallowing and feeding status, functional status, medical status, and oral/dental status. The subjects were followed for up to 4 years for an outcome of verified aspiration pneumonia. Bivariate analyses identified several factors as significantly associated with pneumonia. Logistic regression analyses then identified the significant predictors of aspiration pneumonia. The best predictors, in one or more groups of subjects, were dependent for feeding, dependent for oral care, number of decayed teeth, tube feeding, more than one medical diagnosis, number of medications, and smoking. The role that each of the significant predictors might play was described in relation to the pathogenesis of aspiration pneumonia. Dysphagia was concluded to be an important risk for aspiration pneumonia, but generally not sufficient to cause pneumonia unless other risk factors are present as well. A dependency upon others for feeding emerged as the dominant risk factor, with an odds ratio of 19.98 in a logistic regression model that excluded tube-fed patients.","container-title":"Dysphagia","DOI":"10.1007/PL00009559","issue":"2","page":"69-81","title":"Predictors of Aspiration Pneumonia: How Important Is Dysphagia?","volume":"13","author":[{"family":"Langmore","given":"Susan E."},{"family":"Terpenning","given":"Margaret S."},{"family":"Schork","given":"Anthony"},{"family":"Chen","given":"Yinmiao"},{"family":"Murray","given":"Joseph T."},{"family":"Lopatin","given":"Dennis"},{"family":"Loesche","given":"Walter J."}],"issued":{"date-parts":[["1998"]]}}}],"schema":"https://github.com/citation-style-language/schema/raw/master/csl-citation.json"} </w:instrText>
      </w:r>
      <w:r w:rsidR="00172719">
        <w:rPr>
          <w:rFonts w:ascii="Calibri" w:hAnsi="Calibri" w:cs="Calibri"/>
        </w:rPr>
        <w:fldChar w:fldCharType="separate"/>
      </w:r>
      <w:r w:rsidR="00263A23" w:rsidRPr="00263A23">
        <w:rPr>
          <w:rFonts w:ascii="Calibri" w:hAnsi="Calibri" w:cs="Calibri"/>
        </w:rPr>
        <w:t>[6]</w:t>
      </w:r>
      <w:r w:rsidR="00172719">
        <w:rPr>
          <w:rFonts w:ascii="Calibri" w:hAnsi="Calibri" w:cs="Calibri"/>
        </w:rPr>
        <w:fldChar w:fldCharType="end"/>
      </w:r>
      <w:r w:rsidR="00B872E5">
        <w:t>, malnutrition</w:t>
      </w:r>
      <w:r w:rsidR="00172719">
        <w:rPr>
          <w:rFonts w:ascii="Calibri" w:hAnsi="Calibri" w:cs="Calibri"/>
        </w:rPr>
        <w:t xml:space="preserve"> </w:t>
      </w:r>
      <w:r w:rsidR="00172719">
        <w:rPr>
          <w:rFonts w:ascii="Calibri" w:hAnsi="Calibri" w:cs="Calibri"/>
        </w:rPr>
        <w:fldChar w:fldCharType="begin"/>
      </w:r>
      <w:r w:rsidR="00263A23">
        <w:rPr>
          <w:rFonts w:ascii="Calibri" w:hAnsi="Calibri" w:cs="Calibri"/>
        </w:rPr>
        <w:instrText xml:space="preserve"> ADDIN ZOTERO_ITEM CSL_CITATION {"citationID":"CBCl36EP","properties":{"formattedCitation":"[7]","plainCitation":"[7]","noteIndex":0},"citationItems":[{"id":270,"uris":["http://zotero.org/users/13970490/items/W9SBMFLT"],"itemData":{"id":270,"type":"article-journal","abstract":"Aim: To assess the nutrition status of children with CP, applying WHO growth standards, to indentify feeding risk factors and to evaluate their impact on the growth of children with CP. Methods: In 42 paediatric patients (mean age 8.00 ± 4.00 years), anthropometry and food intake records were assessed. z-scores were calculated using WHO Anthro software. Intake to requirements ratio (I/R) was calculated, and patients were classified according to their feeding ability (PFA). Overall diet quality was assessed using the Diet Quality Index International (DQI-I). Results: Based on WAz, 15 patients (38.1%) were undernourished. No association was found between I/R ratio and BMI z-score, while PFA and DQI-I displayed a significant correlation to both (p &lt; 0.05). Diet Quality Index International was also correlated with macronutrient distribution (p &lt; 0.05). Patients with CP were undernourished in a considerable proportion. Malnutrition in patients with CP is not associated with the intake of estimated energy requirements. Among the other feeding risk factors studied, PFA and DQI-I represented important parameters associated with malnutrition. Conclusion: WHO z-scores represent accurate parameters for the assessment of malnutrition in patients with CP. Together with anthropometry and PFA evaluation, the use of the DQI-I would add prognostic value to both the initial growth assessment and the patients’ growth monitoring.","container-title":"Acta Paediatrica","DOI":"10.1111/j.1651-2227.2012.02641.x","issue":"6","page":"649-654","title":"Identification of feeding risk factors for impaired nutrition status in paediatric patients with cerebral palsy","volume":"101","author":[{"family":"Karagiozoglou-Lampoudi","given":"Thomais"},{"family":"Daskalou","given":"Efstratia"},{"family":"Vargiami","given":"Euthymia"},{"family":"Zafeiriou","given":"Dimitrios"}],"issued":{"date-parts":[["2012"]]}}}],"schema":"https://github.com/citation-style-language/schema/raw/master/csl-citation.json"} </w:instrText>
      </w:r>
      <w:r w:rsidR="00172719">
        <w:rPr>
          <w:rFonts w:ascii="Calibri" w:hAnsi="Calibri" w:cs="Calibri"/>
        </w:rPr>
        <w:fldChar w:fldCharType="separate"/>
      </w:r>
      <w:r w:rsidR="00263A23" w:rsidRPr="00263A23">
        <w:rPr>
          <w:rFonts w:ascii="Calibri" w:hAnsi="Calibri" w:cs="Calibri"/>
        </w:rPr>
        <w:t>[7]</w:t>
      </w:r>
      <w:r w:rsidR="00172719">
        <w:rPr>
          <w:rFonts w:ascii="Calibri" w:hAnsi="Calibri" w:cs="Calibri"/>
        </w:rPr>
        <w:fldChar w:fldCharType="end"/>
      </w:r>
      <w:r w:rsidR="00B872E5">
        <w:t>, dehydration</w:t>
      </w:r>
      <w:r w:rsidR="00172719">
        <w:rPr>
          <w:rFonts w:ascii="Calibri" w:hAnsi="Calibri" w:cs="Calibri"/>
        </w:rPr>
        <w:t xml:space="preserve"> </w:t>
      </w:r>
      <w:r w:rsidR="00172719">
        <w:rPr>
          <w:rFonts w:ascii="Calibri" w:hAnsi="Calibri" w:cs="Calibri"/>
        </w:rPr>
        <w:fldChar w:fldCharType="begin"/>
      </w:r>
      <w:r w:rsidR="00263A23">
        <w:rPr>
          <w:rFonts w:ascii="Calibri" w:hAnsi="Calibri" w:cs="Calibri"/>
        </w:rPr>
        <w:instrText xml:space="preserve"> ADDIN ZOTERO_ITEM CSL_CITATION {"citationID":"O8j1Ln7J","properties":{"formattedCitation":"[8]","plainCitation":"[8]","noteIndex":0},"citationItems":[{"id":269,"uris":["http://zotero.org/users/13970490/items/JL6J53E4"],"itemData":{"id":269,"type":"article-journal","title":"Malnutrition and Dehydration in Nursing Homes: Key Issues in Prevention and Treatment","author":[{"family":"Burger","given":"Sarah Greene"},{"family":"Kayser-Jones","given":"Jeanie"},{"family":"Bell","given":"Julie Prince"}]}}],"schema":"https://github.com/citation-style-language/schema/raw/master/csl-citation.json"} </w:instrText>
      </w:r>
      <w:r w:rsidR="00172719">
        <w:rPr>
          <w:rFonts w:ascii="Calibri" w:hAnsi="Calibri" w:cs="Calibri"/>
        </w:rPr>
        <w:fldChar w:fldCharType="separate"/>
      </w:r>
      <w:r w:rsidR="00263A23" w:rsidRPr="00263A23">
        <w:rPr>
          <w:rFonts w:ascii="Calibri" w:hAnsi="Calibri" w:cs="Calibri"/>
        </w:rPr>
        <w:t>[8]</w:t>
      </w:r>
      <w:r w:rsidR="00172719">
        <w:rPr>
          <w:rFonts w:ascii="Calibri" w:hAnsi="Calibri" w:cs="Calibri"/>
        </w:rPr>
        <w:fldChar w:fldCharType="end"/>
      </w:r>
      <w:r w:rsidR="00B872E5">
        <w:t xml:space="preserve">, pressure sores </w:t>
      </w:r>
      <w:r w:rsidR="00172719">
        <w:fldChar w:fldCharType="begin"/>
      </w:r>
      <w:r w:rsidR="00263A23">
        <w:instrText xml:space="preserve"> ADDIN ZOTERO_ITEM CSL_CITATION {"citationID":"wDGDBdA6","properties":{"formattedCitation":"[9]","plainCitation":"[9]","noteIndex":0},"citationItems":[{"id":455,"uris":["http://zotero.org/users/13970490/items/5CGGDIAV"],"itemData":{"id":455,"type":"article-journal","container-title":"Indian Journal of Critical Care Medicine","DOI":"10.4103/ijccm.IJCCM_277_17","ISSN":"0972-5229, 1998-359X","issue":"4","language":"en","page":"283-289","source":"DOI.org (Crossref)","title":"Pressure ulcer and nutrition","volume":"22","author":[{"family":"Mahmoodpoor","given":"Ata"},{"family":"Shadvar","given":"Kamran"},{"family":"Saghaleini","given":"Seied"},{"family":"Dehghan","given":"Kasra"},{"family":"Ostadi","given":"Zohreh"}],"issued":{"date-parts":[["2018",4]]}}}],"schema":"https://github.com/citation-style-language/schema/raw/master/csl-citation.json"} </w:instrText>
      </w:r>
      <w:r w:rsidR="00172719">
        <w:fldChar w:fldCharType="separate"/>
      </w:r>
      <w:r w:rsidR="00263A23" w:rsidRPr="00263A23">
        <w:rPr>
          <w:rFonts w:ascii="Calibri" w:hAnsi="Calibri" w:cs="Calibri"/>
        </w:rPr>
        <w:t>[9]</w:t>
      </w:r>
      <w:r w:rsidR="00172719">
        <w:fldChar w:fldCharType="end"/>
      </w:r>
      <w:r w:rsidR="00B872E5">
        <w:t xml:space="preserve">, and gastro-esophageal reflux disease (GERD) </w:t>
      </w:r>
      <w:r w:rsidR="00172719">
        <w:fldChar w:fldCharType="begin"/>
      </w:r>
      <w:r w:rsidR="00263A23">
        <w:instrText xml:space="preserve"> ADDIN ZOTERO_ITEM CSL_CITATION {"citationID":"Q5XPDqSk","properties":{"formattedCitation":"[10]","plainCitation":"[10]","noteIndex":0},"citationItems":[{"id":97,"uris":["http://zotero.org/users/13970490/items/W4JI4P2J"],"itemData":{"id":97,"type":"article-journal","abstract":"Background: The postprandial increase of gastroesophageal reflux (GER) results largely from an increase in the rate of transient lower esophageal sphincter relaxations (TLESRs). Gastric distension is believed to be the most important contributing factor. The aim of this study was to determine the impact of rapid food intake on GER in healthy volunteers using combined multichannel intraluminal impedance and pH (MII-pH) testing to record both acid and nonacid reflux. Our hypothesis was that rapid food intake overstresses the gastric pressure-volume response and contributes to increased postprandial GER.\nMethods: Twenty healthy volunteers were included in the study. On two separate days the participants were asked to eat the same standard meal within 5 or 30 min in random order. Acid and nonacid reflux episodes were recorded over a 2-h postprandial period.\nResults: Intake of a standard meal within 5 min was associated with more reflux episodes (median = 14) than an intake within 30 min (median = 10, p= 0.021). The increase was confined to the first postprandial hour and was caused predominantly by an increase of nonacid reflux. During the entire 2-h postprandial period, 469 reflux episodes were noted in the 40 studies. During the first postprandial hour 45% (135/303) of reflux events were nonacid as opposed to 22% (37/166) noted during the second hour (p &lt; 0.0001).\nConclusion: Since rapid food intake produces more GER in healthy volunteers, studies in GERD patients are warranted to evaluate if eating slowly may represent another \"life-style modification\" aimed at reducing GER.","container-title":"The American Journal of Gastroenterology","DOI":"10.1111/j.1572-0241.2004.30273.x","issue":"9","page":"1645-1651","title":"The Influence of Rapid Food Intake on Postprandial Reflux: Studies in Healthy Volunteers","volume":"99","author":[{"family":"Wildi","given":"Stephan M."},{"family":"Tutuian","given":"Radu"},{"family":"Castell","given":"Donald O."}],"issued":{"date-parts":[["2004"]]}}}],"schema":"https://github.com/citation-style-language/schema/raw/master/csl-citation.json"} </w:instrText>
      </w:r>
      <w:r w:rsidR="00172719">
        <w:fldChar w:fldCharType="separate"/>
      </w:r>
      <w:r w:rsidR="00263A23" w:rsidRPr="00263A23">
        <w:rPr>
          <w:rFonts w:ascii="Calibri" w:hAnsi="Calibri" w:cs="Calibri"/>
        </w:rPr>
        <w:t>[10]</w:t>
      </w:r>
      <w:r w:rsidR="00172719">
        <w:fldChar w:fldCharType="end"/>
      </w:r>
      <w:r w:rsidR="00B872E5">
        <w:t xml:space="preserve">.  GERD is further associated with pain, while malnutrition and dehydration are associated with increased hospital stay and higher mortality </w:t>
      </w:r>
      <w:r w:rsidR="00172719">
        <w:fldChar w:fldCharType="begin"/>
      </w:r>
      <w:r w:rsidR="00263A23">
        <w:instrText xml:space="preserve"> ADDIN ZOTERO_ITEM CSL_CITATION {"citationID":"hNSRVkuX","properties":{"formattedCitation":"[11]","plainCitation":"[11]","noteIndex":0},"citationItems":[{"id":28,"uris":["http://zotero.org/users/13970490/items/4NMKHDE6"],"itemData":{"id":28,"type":"article-journal","abstract":"Gastroesophageal reflux disease (GERD) is a common clinical problem, affecting millions of people worldwide. Patients are recognized by both classic and atypical symptoms. Acid suppressive therapy provides symptomatic relief and prevents complications in many individuals with GERD. Advances in diagnostic and therapeutic modalities have improved our ability to identify and manage disease complications. Here, we discuss the pathophysiology and effects of GERD, and provide information on the clinical approach to this common disorder.","container-title":"Mo Med","issue":"3","page":"214-218","title":"Gastroesophageal Reflux Disease (GERD)","volume":"115","author":[{"family":"Clarrett","given":"D. M."},{"family":"Hachem","given":"C."}],"issued":{"date-parts":[["2018"]]}}}],"schema":"https://github.com/citation-style-language/schema/raw/master/csl-citation.json"} </w:instrText>
      </w:r>
      <w:r w:rsidR="00172719">
        <w:fldChar w:fldCharType="separate"/>
      </w:r>
      <w:r w:rsidR="00263A23" w:rsidRPr="00263A23">
        <w:rPr>
          <w:rFonts w:ascii="Calibri" w:hAnsi="Calibri" w:cs="Calibri"/>
        </w:rPr>
        <w:t>[11]</w:t>
      </w:r>
      <w:r w:rsidR="00172719">
        <w:fldChar w:fldCharType="end"/>
      </w:r>
      <w:r w:rsidR="00762F39">
        <w:t xml:space="preserve"> </w:t>
      </w:r>
      <w:r w:rsidR="00762F39">
        <w:fldChar w:fldCharType="begin"/>
      </w:r>
      <w:r w:rsidR="00263A23">
        <w:instrText xml:space="preserve"> ADDIN ZOTERO_ITEM CSL_CITATION {"citationID":"vhidmPdf","properties":{"formattedCitation":"[12]","plainCitation":"[12]","noteIndex":0},"citationItems":[{"id":267,"uris":["http://zotero.org/users/13970490/items/PB9Z3QE6"],"itemData":{"id":267,"type":"article-journal","abstract":"A well-functioning immune system is critical for survival. The immune system must be constantly alert, monitoring for signs of invasion or danger. Cells of the immune system must be able to distinguish self from non-self and furthermore discriminate between non-self molecules which are harmful (e.g., those from pathogens) and innocuous non-self molecules (e.g., from food). This Special Issue of Nutrients explores the relationship between diet and nutrients and immune function. In this preface, we outline the key functions of the immune system, and how it interacts with nutrients across the life course, highlighting the work included within this Special Issue. This includes the role of macronutrients, micronutrients, and the gut microbiome in mediating immunological effects. Nutritional modulation of the immune system has applications within the clinical setting, but can also have a role in healthy populations, acting to reduce or delay the onset of immune-mediated chronic diseases. Ongoing research in this field will ultimately lead to a better understanding of the role of diet and nutrients in immune function and will facilitate the use of bespoke nutrition to improve human health.","container-title":"Nutrients","DOI":"10.3390/nu11081933","issue":"8","page":"1933","title":"Diet and Immune Function","volume":"11","author":[{"family":"Childs","given":"Caroline E."},{"family":"Calder","given":"Philip C."},{"family":"Miles","given":"Elizabeth A."}],"issued":{"date-parts":[["2019"]]}}}],"schema":"https://github.com/citation-style-language/schema/raw/master/csl-citation.json"} </w:instrText>
      </w:r>
      <w:r w:rsidR="00762F39">
        <w:fldChar w:fldCharType="separate"/>
      </w:r>
      <w:r w:rsidR="00263A23" w:rsidRPr="00263A23">
        <w:rPr>
          <w:rFonts w:ascii="Calibri" w:hAnsi="Calibri" w:cs="Calibri"/>
        </w:rPr>
        <w:t>[12]</w:t>
      </w:r>
      <w:r w:rsidR="00762F39">
        <w:fldChar w:fldCharType="end"/>
      </w:r>
      <w:r w:rsidR="00172719">
        <w:rPr>
          <w:rFonts w:ascii="Calibri" w:hAnsi="Calibri" w:cs="Calibri"/>
        </w:rPr>
        <w:t xml:space="preserve"> </w:t>
      </w:r>
      <w:r w:rsidR="00172719">
        <w:rPr>
          <w:rFonts w:ascii="Calibri" w:hAnsi="Calibri" w:cs="Calibri"/>
        </w:rPr>
        <w:fldChar w:fldCharType="begin"/>
      </w:r>
      <w:r w:rsidR="00263A23">
        <w:rPr>
          <w:rFonts w:ascii="Calibri" w:hAnsi="Calibri" w:cs="Calibri"/>
        </w:rPr>
        <w:instrText xml:space="preserve"> ADDIN ZOTERO_ITEM CSL_CITATION {"citationID":"DOXDuvkA","properties":{"formattedCitation":"[13]","plainCitation":"[13]","noteIndex":0},"citationItems":[{"id":263,"uris":["http://zotero.org/users/13970490/items/JYB6KLMA"],"itemData":{"id":263,"type":"article-journal","abstract":"Malnutrition (undernutrition) is one of the many health inequalities facing governments in the 21st century. Malnutrition is a common condition affecting millions of individuals in the UK, particularly older adults, the sick and those cared for within the healthcare system. It costs the National Health Service &gt;£7·3×109 annually. New data highlight marked geographical differences in the prevalence of malnutrition across England and an inter-relationship between deprivation, malnutrition and poor outcome. As malnutrition is a largely treatable condition, prompt identification and effective prevention and treatment of this costly condition is imperative. Routine screening for malnutrition in high-risk groups (e.g. the elderly and those in areas with high deprivation) and within the healthcare system should be a priority, with screening linked to appropriate plans for the management of malnutrition. Use should be made of specialised interventions, including oral nutritional supplements and artificial nutrition, to aid recovery and improve outcome, with skilled health professionals, including dietitians, involved where possible. Equity of access to nutritional services and treatments for malnutrition needs to occur across the UK and, although complex and multi-factorial, the effects of deprivation and other relevant socio-economic and geographical factors should be addressed. Ultimately, as malnutrition is a public health problem, its identification and treatment must become a priority for governments, healthcare planners and professionals.","container-title":"Proceedings of the Nutrition Society","DOI":"10.1017/S0029665107005848","issue":"4","page":"522-529","title":"Malnutrition: another health inequality?: Pennington Lecture","volume":"66","author":[{"family":"Stratton","given":"Rebecca J."}],"issued":{"date-parts":[["2007"]]}}}],"schema":"https://github.com/citation-style-language/schema/raw/master/csl-citation.json"} </w:instrText>
      </w:r>
      <w:r w:rsidR="00172719">
        <w:rPr>
          <w:rFonts w:ascii="Calibri" w:hAnsi="Calibri" w:cs="Calibri"/>
        </w:rPr>
        <w:fldChar w:fldCharType="separate"/>
      </w:r>
      <w:r w:rsidR="00263A23" w:rsidRPr="00263A23">
        <w:rPr>
          <w:rFonts w:ascii="Calibri" w:hAnsi="Calibri" w:cs="Calibri"/>
        </w:rPr>
        <w:t>[13]</w:t>
      </w:r>
      <w:r w:rsidR="00172719">
        <w:rPr>
          <w:rFonts w:ascii="Calibri" w:hAnsi="Calibri" w:cs="Calibri"/>
        </w:rPr>
        <w:fldChar w:fldCharType="end"/>
      </w:r>
      <w:r w:rsidR="00762F39">
        <w:rPr>
          <w:rFonts w:ascii="Calibri" w:hAnsi="Calibri" w:cs="Calibri"/>
        </w:rPr>
        <w:t xml:space="preserve"> </w:t>
      </w:r>
      <w:r w:rsidR="00762F39">
        <w:rPr>
          <w:rFonts w:ascii="Calibri" w:hAnsi="Calibri" w:cs="Calibri"/>
        </w:rPr>
        <w:fldChar w:fldCharType="begin"/>
      </w:r>
      <w:r w:rsidR="00263A23">
        <w:rPr>
          <w:rFonts w:ascii="Calibri" w:hAnsi="Calibri" w:cs="Calibri"/>
        </w:rPr>
        <w:instrText xml:space="preserve"> ADDIN ZOTERO_ITEM CSL_CITATION {"citationID":"uTaRHc8K","properties":{"formattedCitation":"[14]","plainCitation":"[14]","noteIndex":0},"citationItems":[{"id":265,"uris":["http://zotero.org/users/13970490/items/2X4KITA3"],"itemData":{"id":265,"type":"article-journal","abstract":"Objectives: To identify resident, treatment, and facility characteristics associated with pressure ulcer (PU) development in long-term care residents. Design: Retrospective cohort study with convenience sampling. Setting: Ninety-five long-term care facilities participating in the National Pressure Ulcer Long-Term Care Study throughout the United States. Participants: A total of 1,524 residents aged 18 and older, with length of stay of 14 days or longer, who did not have an existing PU but were at risk of developing a PU, as defined by a Braden Scale for Predicting Pressure Sore Risk score of 17 or less, on study entry. Measurements: Data collected for each resident over a 12-week period included resident characteristics (e.g., demographics, medical history, severity of illness using the Comprehensive Severity Index, Braden Scale scores, nutritional factors), treatment characteristics (nutritional interventions, pressure management strategies, incontinence treatments, medications), staffing ratios and other facility characteristics, and outcome (PU development during study period). Data were obtained from medical records, Minimum Data Set, and other written records (e.g., physician orders, medication logs). Results: Seventy-one percent of subjects (n=1,081) did not develop a PU during the 12-week study period; the remaining 29% of residents (n=443) developed a new PU. Resident, treatment, and facility characteristics associated with greater likelihood of developing a Stage I to IV PU included higher initial severity of illness, history of recent PU, significant weight loss, oral eating problems, use of catheters, and use of positioning devices. Characteristics associated with decreased likelihood of developing a Stage I to IV PU included new resident, nutritional intervention (e.g., use of oral medical nutritional supplements and tube feeding for &gt;21 days), antidepressant use, use of disposable briefs for more than 14 days, registered nurse hours of 0.25 hours per resident per day or more, nurses' aide hours of 2 hours per resident per day or more, and licensed practical nurse turnover rate of less than 25%. When Stage I PUs were excluded from the analyses, the same variables were significant, with the addition of fluid orders associated with decreased likelihood of developing a PU. Conclusion: A broad range of factors, including nutritional interventions, fluid orders, medications, and staffing patterns, are associated with prevention of PUs in long-term care residents. Research-based PU prevention protocols need to be developed that include these factors and target interventions for reducing risk factors.","container-title":"Journal of the American Geriatrics Society","DOI":"10.1111/j.1532-5415.2004.52106.x","issue":"3","page":"359-367","title":"The National Pressure Ulcer Long-Term Care Study: Pressure Ulcer Development in Long-Term Care Residents","volume":"52","author":[{"family":"Horn","given":"Susan D."},{"family":"Bender","given":"Stacy A."},{"family":"Ferguson","given":"Maree L."},{"family":"Smout","given":"Randall J."},{"family":"Bergstrom","given":"Nancy"},{"family":"Taler","given":"George"},{"family":"Cook","given":"Abby S."},{"family":"Sharkey","given":"Siobhan S."},{"family":"Voss","given":"Anne Coble"}],"issued":{"date-parts":[["2004"]]}}}],"schema":"https://github.com/citation-style-language/schema/raw/master/csl-citation.json"} </w:instrText>
      </w:r>
      <w:r w:rsidR="00762F39">
        <w:rPr>
          <w:rFonts w:ascii="Calibri" w:hAnsi="Calibri" w:cs="Calibri"/>
        </w:rPr>
        <w:fldChar w:fldCharType="separate"/>
      </w:r>
      <w:r w:rsidR="00263A23" w:rsidRPr="00263A23">
        <w:rPr>
          <w:rFonts w:ascii="Calibri" w:hAnsi="Calibri" w:cs="Calibri"/>
        </w:rPr>
        <w:t>[14]</w:t>
      </w:r>
      <w:r w:rsidR="00762F39">
        <w:rPr>
          <w:rFonts w:ascii="Calibri" w:hAnsi="Calibri" w:cs="Calibri"/>
        </w:rPr>
        <w:fldChar w:fldCharType="end"/>
      </w:r>
      <w:r w:rsidR="00B872E5">
        <w:t>. Physical disabilities are also well documented as predictive of anxiety</w:t>
      </w:r>
      <w:r w:rsidR="00762F39">
        <w:t xml:space="preserve"> </w:t>
      </w:r>
      <w:r w:rsidR="00762F39">
        <w:fldChar w:fldCharType="begin"/>
      </w:r>
      <w:r w:rsidR="00263A23">
        <w:instrText xml:space="preserve"> ADDIN ZOTERO_ITEM CSL_CITATION {"citationID":"hn7iztBH","properties":{"formattedCitation":"[15]","plainCitation":"[15]","noteIndex":0},"citationItems":[{"id":116,"uris":["http://zotero.org/users/13970490/items/CH2CMIW7"],"itemData":{"id":116,"type":"article-journal","abstract":"Introduction: People with Multiple Sclerosis are known to have a relatively high prevalence of both anxiety and depression. Studies of the relationship between physical disability and mental health in people with MS have reported mixed results, showing the need for further work.\nMethods: Between May 2011 and April 2012, 4516 people completed the MSIS-29 (v.1) and HADS scales via the dedicated internet site of the UK MS Register within a 7 day time window. These responses were linked with basic demographic and descriptive data and analysed in SPSS (v.20).\nResults: The proportions of people experiencing anxiety or depression increased with physical disability such that 38.0% of respondents with low, and 66.7% with high disability reported at least mild anxiety, and 17.1% of people with low, and 71.7% with high disability experienced at least mild depression. The multiple regression model explained 18.4% of the variance in anxiety with MSIS-29-PHYS score being the strongest predictor of anxiety. The model for depression explained 37.8% of the variance with MSIS-29-PHYS score being the strongest predictor. Some of the other variables included showed negative associations with anxiety and depression, indicating that the influence of physical disability on mental wellbeing could be underestimated.\nConclusions: This study indicates that there is a positive relationship between physical disability and anxiety and depression, that physical disability impacts on anxiety and depression to differing extents, and that the effects vary with gender, age, disease course and disease duration. We have shown that physical disability is a predictor of anxiety and depression, and that other factors may mask the extent of this effect. Whether the causes of anxiety and depression are reactive, organic or a combination, it is essential that mental wellbeing is given due attention in caring for people with MS so that all their health needs can be met.","container-title":"PLoS ONE","DOI":"10.1371/journal.pone.0104604","issue":"8","page":"e104604","title":"Physical Disability, Anxiety and Depression in People with MS: An Internet-Based Survey via the UK MS Register","volume":"9","author":[{"family":"Jones","given":"Kerina H."},{"family":"Jones","given":"Philip A."},{"family":"Middleton","given":"Rodden M."},{"family":"Ford","given":"David V."},{"family":"Tuite-Dalton","given":"Katie"},{"family":"Lockhart-Jones","given":"Hazel"},{"family":"Peng","given":"Jeffrey"},{"family":"Lyons","given":"Ronan A."},{"family":"John","given":"Ann"},{"family":"Noble","given":"J. Gareth"}],"issued":{"date-parts":[["2014"]]}}}],"schema":"https://github.com/citation-style-language/schema/raw/master/csl-citation.json"} </w:instrText>
      </w:r>
      <w:r w:rsidR="00762F39">
        <w:fldChar w:fldCharType="separate"/>
      </w:r>
      <w:r w:rsidR="00263A23" w:rsidRPr="00263A23">
        <w:rPr>
          <w:rFonts w:ascii="Calibri" w:hAnsi="Calibri" w:cs="Calibri"/>
        </w:rPr>
        <w:t>[15]</w:t>
      </w:r>
      <w:r w:rsidR="00762F39">
        <w:fldChar w:fldCharType="end"/>
      </w:r>
      <w:r w:rsidR="00762F39">
        <w:rPr>
          <w:rFonts w:ascii="Calibri" w:hAnsi="Calibri" w:cs="Calibri"/>
        </w:rPr>
        <w:t xml:space="preserve"> </w:t>
      </w:r>
      <w:r w:rsidR="00762F39">
        <w:rPr>
          <w:rFonts w:ascii="Calibri" w:hAnsi="Calibri" w:cs="Calibri"/>
        </w:rPr>
        <w:fldChar w:fldCharType="begin"/>
      </w:r>
      <w:r w:rsidR="00263A23">
        <w:rPr>
          <w:rFonts w:ascii="Calibri" w:hAnsi="Calibri" w:cs="Calibri"/>
        </w:rPr>
        <w:instrText xml:space="preserve"> ADDIN ZOTERO_ITEM CSL_CITATION {"citationID":"Q7bra8mb","properties":{"formattedCitation":"[16]","plainCitation":"[16]","noteIndex":0},"citationItems":[{"id":259,"uris":["http://zotero.org/users/13970490/items/YHM3J8U5"],"itemData":{"id":259,"type":"article-journal","abstract":"Congenital physical disability is associated with various psychological challenges, including negative feelings, anxiety, and stress. These challenges will, in turn, predict significant negative emotional well-being among students with congenital physical disabilities, but the mechanisms of these effects are not well known. This study examined whether Negative Emotional Wellbeing Anxiety (NEWA) would mediate the effect of Negative Feelings (NF) and Negative Emotional Wellbeing Depression (NEWD) among students with congenital physical disabilities. Forty-six students with congenital physical disabilities (mean age: 20 years, SD = 2.05; 45.65% females) completed self-rating measures that included sociodemographic variables (age and sex), emotional state for Children to assess negative feelings, and an emotional distress protocol to assess NEWA and NEWD. Results show that NF was positively correlated with NEWA (r = .69, p &lt; .001) and NEWD (r = .69, p &lt; .001), and NEWA was positively correlated with NEWD (r = .86, p &lt; .001). Findings further reported that NEWA significantly mediated the positive relationship between NF and NEWD (a*b = .37, Bootstrap CI95 = .23 and .52) [Sobel test statistic of 4.82 (p &lt; .001)] among students with congenital physical disabilities. The results highlight the importance of screening students with congenital physical disabilities for common psychological challenges and providing suitable interventions.","container-title":"PLOS ONE","DOI":"10.1371/journal.pone.0281430","issue":"3","page":"e0281430","title":"The mediating role of anxiety between negative feelings and depression among students with congenital physical disabilities","volume":"18","author":[{"family":"Uwimbabazi","given":"Marie Paule"},{"family":"Muziki","given":"Jean","dropping-particle":"d’Amour"},{"family":"Muhayisa","given":"Assumpta"},{"family":"Uwera","given":"Thaoussi"},{"family":"Mutabaruka","given":"Jean"}],"issued":{"date-parts":[["2023"]]}}}],"schema":"https://github.com/citation-style-language/schema/raw/master/csl-citation.json"} </w:instrText>
      </w:r>
      <w:r w:rsidR="00762F39">
        <w:rPr>
          <w:rFonts w:ascii="Calibri" w:hAnsi="Calibri" w:cs="Calibri"/>
        </w:rPr>
        <w:fldChar w:fldCharType="separate"/>
      </w:r>
      <w:r w:rsidR="00263A23" w:rsidRPr="00263A23">
        <w:rPr>
          <w:rFonts w:ascii="Calibri" w:hAnsi="Calibri" w:cs="Calibri"/>
        </w:rPr>
        <w:t>[16]</w:t>
      </w:r>
      <w:r w:rsidR="00762F39">
        <w:rPr>
          <w:rFonts w:ascii="Calibri" w:hAnsi="Calibri" w:cs="Calibri"/>
        </w:rPr>
        <w:fldChar w:fldCharType="end"/>
      </w:r>
      <w:r w:rsidR="00762F39">
        <w:rPr>
          <w:rFonts w:ascii="Calibri" w:hAnsi="Calibri" w:cs="Calibri"/>
        </w:rPr>
        <w:t xml:space="preserve"> </w:t>
      </w:r>
      <w:r w:rsidR="00762F39">
        <w:rPr>
          <w:rFonts w:ascii="Calibri" w:hAnsi="Calibri" w:cs="Calibri"/>
        </w:rPr>
        <w:fldChar w:fldCharType="begin"/>
      </w:r>
      <w:r w:rsidR="00263A23">
        <w:rPr>
          <w:rFonts w:ascii="Calibri" w:hAnsi="Calibri" w:cs="Calibri"/>
        </w:rPr>
        <w:instrText xml:space="preserve"> ADDIN ZOTERO_ITEM CSL_CITATION {"citationID":"8Odi8CUl","properties":{"formattedCitation":"[17]","plainCitation":"[17]","noteIndex":0},"citationItems":[{"id":257,"uris":["http://zotero.org/users/13970490/items/SMQP38Q9"],"itemData":{"id":257,"type":"article-journal","abstract":"Objectives: To determine the influence of anxiety on the progression of disability and examine possible mediators of the relationship. Design: Community-based observational study. Setting: Women's Health and Aging Study I, a prospective observational study with assessments every 6 months for 3 years. Participants: One thousand two functionally limited women aged 65 and older. Measurements: Anxiety symptoms were assessed using four questions from the Hopkins Symptom Checklist (nervous or shaky, avoidance of certain things, tense or keyed up, fearful). Participants who reported experiencing two or more of these symptoms at baseline were considered anxious. Anxiety as a predictor of the onset of four types of disability was examined using Cox proportional hazards models. Three models were tested: an unadjusted model, a model adjusted for confounding variables (age, race, vision, number of diseases, physical performance, depressive symptoms), and a mediational model (benzodiazepine and psychotropic medication use, physical activity, emotional support). Results: Nineteen percent of women reported two or more symptoms of anxiety at baseline. Unadjusted models indicate that anxiety was associated with a greater risk of worsening disability: activity of daily living (ADL) disability (relative risk (RR)=1.40, 95% confidence interval (CI)=1.10–1.79), mobility disability (RR=1.41, 95% CI=1.06–1.86), lifting disability (RR=1.54, 95% CI=1.20–1.97), and light housework disability (RR=1.77, 95% CI=1.32–2.37). After adjusting for confounding variables, anxiety continued to predict the development of two types of disability: ADL disability (RR=1.41, 95% CI=1.08–1.84) and light housework disability (RR=1.56, 95% CI=1.14–2.14). Finally, benzodiazepine and psychotropic medication use, physical activity, and emotional support were not significant mediators of the effect of anxiety on the development of a disability. Conclusion: Anxiety is a significant risk factor for the progression of disability in older women. Studies are needed to determine whether treatment of anxiety delays or prevents disability.","container-title":"Journal of the American Geriatrics Society","DOI":"10.1111/j.1532-5415.2005.53007.x","issue":"1","page":"34-39","title":"The Influence of Anxiety on the Progression of Disability","volume":"53","author":[{"family":"Brenes","given":"Gretchen A."},{"family":"Guralnik","given":"Jack M."},{"family":"Williamson","given":"Jeff D."},{"family":"Fried","given":"Linda P."},{"family":"Simpson","given":"Crystal"},{"family":"Simonsick","given":"Eleanor M."},{"family":"Penninx","given":"Brenda W. J. H."}],"issued":{"date-parts":[["2005"]]}}}],"schema":"https://github.com/citation-style-language/schema/raw/master/csl-citation.json"} </w:instrText>
      </w:r>
      <w:r w:rsidR="00762F39">
        <w:rPr>
          <w:rFonts w:ascii="Calibri" w:hAnsi="Calibri" w:cs="Calibri"/>
        </w:rPr>
        <w:fldChar w:fldCharType="separate"/>
      </w:r>
      <w:r w:rsidR="00263A23" w:rsidRPr="00263A23">
        <w:rPr>
          <w:rFonts w:ascii="Calibri" w:hAnsi="Calibri" w:cs="Calibri"/>
        </w:rPr>
        <w:t>[17]</w:t>
      </w:r>
      <w:r w:rsidR="00762F39">
        <w:rPr>
          <w:rFonts w:ascii="Calibri" w:hAnsi="Calibri" w:cs="Calibri"/>
        </w:rPr>
        <w:fldChar w:fldCharType="end"/>
      </w:r>
      <w:r w:rsidR="00762F39">
        <w:rPr>
          <w:rFonts w:ascii="Calibri" w:hAnsi="Calibri" w:cs="Calibri"/>
        </w:rPr>
        <w:t xml:space="preserve"> </w:t>
      </w:r>
      <w:r w:rsidR="00762F39">
        <w:rPr>
          <w:rFonts w:ascii="Calibri" w:hAnsi="Calibri" w:cs="Calibri"/>
        </w:rPr>
        <w:fldChar w:fldCharType="begin"/>
      </w:r>
      <w:r w:rsidR="00263A23">
        <w:rPr>
          <w:rFonts w:ascii="Calibri" w:hAnsi="Calibri" w:cs="Calibri"/>
        </w:rPr>
        <w:instrText xml:space="preserve"> ADDIN ZOTERO_ITEM CSL_CITATION {"citationID":"rzgWjhkF","properties":{"formattedCitation":"[18]","plainCitation":"[18]","noteIndex":0},"citationItems":[{"id":108,"uris":["http://zotero.org/users/13970490/items/U7UWUGGB"],"itemData":{"id":108,"type":"article-journal","container-title":"National Institute of Health: National Institute of Neurological Disorders and Stroke","title":"Cerebral Palsy","author":[{"family":"National Institute of Neurological Disorders and Stroke","given":""}],"issued":{"date-parts":[["2023"]]}}}],"schema":"https://github.com/citation-style-language/schema/raw/master/csl-citation.json"} </w:instrText>
      </w:r>
      <w:r w:rsidR="00762F39">
        <w:rPr>
          <w:rFonts w:ascii="Calibri" w:hAnsi="Calibri" w:cs="Calibri"/>
        </w:rPr>
        <w:fldChar w:fldCharType="separate"/>
      </w:r>
      <w:r w:rsidR="00263A23" w:rsidRPr="00263A23">
        <w:rPr>
          <w:rFonts w:ascii="Calibri" w:hAnsi="Calibri" w:cs="Calibri"/>
        </w:rPr>
        <w:t>[18]</w:t>
      </w:r>
      <w:r w:rsidR="00762F39">
        <w:rPr>
          <w:rFonts w:ascii="Calibri" w:hAnsi="Calibri" w:cs="Calibri"/>
        </w:rPr>
        <w:fldChar w:fldCharType="end"/>
      </w:r>
      <w:r w:rsidR="00762F39">
        <w:rPr>
          <w:rFonts w:ascii="Calibri" w:hAnsi="Calibri" w:cs="Calibri"/>
        </w:rPr>
        <w:t xml:space="preserve"> </w:t>
      </w:r>
      <w:r w:rsidR="00B872E5">
        <w:t xml:space="preserve">and depression </w:t>
      </w:r>
      <w:r w:rsidR="00762F39">
        <w:fldChar w:fldCharType="begin"/>
      </w:r>
      <w:r w:rsidR="00263A23">
        <w:instrText xml:space="preserve"> ADDIN ZOTERO_ITEM CSL_CITATION {"citationID":"O0h5I4fW","properties":{"formattedCitation":"[18]","plainCitation":"[18]","noteIndex":0},"citationItems":[{"id":108,"uris":["http://zotero.org/users/13970490/items/U7UWUGGB"],"itemData":{"id":108,"type":"article-journal","container-title":"National Institute of Health: National Institute of Neurological Disorders and Stroke","title":"Cerebral Palsy","author":[{"family":"National Institute of Neurological Disorders and Stroke","given":""}],"issued":{"date-parts":[["2023"]]}}}],"schema":"https://github.com/citation-style-language/schema/raw/master/csl-citation.json"} </w:instrText>
      </w:r>
      <w:r w:rsidR="00762F39">
        <w:fldChar w:fldCharType="separate"/>
      </w:r>
      <w:r w:rsidR="00263A23" w:rsidRPr="00263A23">
        <w:rPr>
          <w:rFonts w:ascii="Calibri" w:hAnsi="Calibri" w:cs="Calibri"/>
        </w:rPr>
        <w:t>[18]</w:t>
      </w:r>
      <w:r w:rsidR="00762F39">
        <w:fldChar w:fldCharType="end"/>
      </w:r>
      <w:r w:rsidR="00762F39">
        <w:t xml:space="preserve"> </w:t>
      </w:r>
      <w:r w:rsidR="00762F39">
        <w:fldChar w:fldCharType="begin"/>
      </w:r>
      <w:r w:rsidR="00263A23">
        <w:instrText xml:space="preserve"> ADDIN ZOTERO_ITEM CSL_CITATION {"citationID":"4Q2plBQ8","properties":{"formattedCitation":"[19]","plainCitation":"[19]","noteIndex":0},"citationItems":[{"id":113,"uris":["http://zotero.org/users/13970490/items/MDDF8W7Z"],"itemData":{"id":113,"type":"article-journal","abstract":"Background\nPhysical disability has been associated with the risk of depression. We examined the incidence, risk, and associated factors of depression in Taiwanese adults with physical/sensory disabilities.\nMethods\nTwo national databases were used to retrospectively analyze 749,491 ≥20-year-old Taiwanese with physical/sensory disabilities in 2002–2008. The incidence of depression was analyzed by univariate Poisson regression. Risk factors of depression were followed up through 2014 and examined with a Cox proportional hazards model.\nResults\nAmong the study subjects, the incidence of depression was 6.29 per 1000 person-years, with 1.83 per 1000 person-years corresponding to major depression. The subjects’ depression risk was affected by disability type, disability severity, gender, age, education, marital status, aboriginal status, monthly salary, residence urbanization level, and Charlson comorbidity index (CCI). Subjects with rare diseases, mild disability, female gender, age 35–44 years, a high school education level, divorced/widowed status, non-aboriginal status, a NT$22,801–28,800 monthly salary, a highly urbanized residence area, or a CCI≥3 were at higher risk for depression.\nConclusions and implications\nAdults with physical/sensory disabilities have a 3.7-fold higher incidence of depression than the general population. Social services departments and family members should take extra measures toward preventing and treating depression in this subpopulation.","container-title":"PLOS ONE","DOI":"10.1371/journal.pone.0175141","issue":"3","page":"e0175141","title":"Incidence, risk, and associated factors of depression in adults with physical and sensory disabilities: A nationwide population-based study","volume":"12","author":[{"family":"Shen","given":"Szu-Ching"},{"family":"Huang","given":"Kuang-Hua"},{"family":"Kung","given":"Pei-Tseng"},{"family":"Chiu","given":"Li-Ting"},{"family":"Tsai","given":"Wen-Chen"}],"issued":{"date-parts":[["2017"]]}}}],"schema":"https://github.com/citation-style-language/schema/raw/master/csl-citation.json"} </w:instrText>
      </w:r>
      <w:r w:rsidR="00762F39">
        <w:fldChar w:fldCharType="separate"/>
      </w:r>
      <w:r w:rsidR="00263A23" w:rsidRPr="00263A23">
        <w:rPr>
          <w:rFonts w:ascii="Calibri" w:hAnsi="Calibri" w:cs="Calibri"/>
        </w:rPr>
        <w:t>[19]</w:t>
      </w:r>
      <w:r w:rsidR="00762F39">
        <w:fldChar w:fldCharType="end"/>
      </w:r>
      <w:r w:rsidR="00762F39">
        <w:t xml:space="preserve"> </w:t>
      </w:r>
      <w:r w:rsidR="00762F39">
        <w:fldChar w:fldCharType="begin"/>
      </w:r>
      <w:r w:rsidR="00263A23">
        <w:instrText xml:space="preserve"> ADDIN ZOTERO_ITEM CSL_CITATION {"citationID":"fIe3C56l","properties":{"formattedCitation":"[20]","plainCitation":"[20]","noteIndex":0},"citationItems":[{"id":115,"uris":["http://zotero.org/users/13970490/items/WWRZRCQN"],"itemData":{"id":115,"type":"article-journal","abstract":"Background: The relationship between physical ill health, disability, and depression is not straightforward. Both cross-sectional and longitudinal studies have clearly shown that medical illness and physical disability are strongly associated with depression.\nObjective: To test the hypothesis that disability is associated with an increased prevalence of depression irrespective of physical health problems and that this is proportionate to the severity of disability (measured in terms of the number of difficulties in daily activities and the degree of dependence on others).\nMethods: Using a random probability sample design, 7460 respondents were interviewed for the third national survey of psychiatric morbidity of adults in the private household population in England. Fieldwork was carried out throughout 2007. The prevalence of depression was established by the administration of the revised Clinical Interview Schedule (CIS-R), while disability was measured by reported difficulties in activities of daily living (ADL) and instrumental activities of daily living (IADL).\nResults: Disability was associated with depression even after adjustment for physical ill health. The number of ADL/IADL difficulties was directly related to the likelihood of respondents having depression. Dependence on others was not associated with depression once severity of disability had been accounted for.\nConclusion: All ADL/IADL limitations are significantly associated with depression and there seems to be a cumulative effect irrespective of whether the limitation is in personal care or in instrumental activities such as mobility problems.","container-title":"Disability and Health Journal","DOI":"10.1016/j.dhjo.2012.02.001","issue":"2","page":"102-110","title":"Physical ill health, disability, dependence and depression: Results from the 2007 national survey of psychiatric morbidity among adults in England","volume":"5","author":[{"family":"Meltzer","given":"Howard"},{"family":"Bebbington","given":"Paul"},{"family":"Brugha","given":"Traolach"},{"family":"McManus","given":"Sally"},{"family":"Rai","given":"Dheeraj"},{"family":"Dennis","given":"Michael S."},{"family":"Jenkins","given":"Rachel"}],"issued":{"date-parts":[["2012"]]}}}],"schema":"https://github.com/citation-style-language/schema/raw/master/csl-citation.json"} </w:instrText>
      </w:r>
      <w:r w:rsidR="00762F39">
        <w:fldChar w:fldCharType="separate"/>
      </w:r>
      <w:r w:rsidR="00263A23" w:rsidRPr="00263A23">
        <w:rPr>
          <w:rFonts w:ascii="Calibri" w:hAnsi="Calibri" w:cs="Calibri"/>
        </w:rPr>
        <w:t>[20]</w:t>
      </w:r>
      <w:r w:rsidR="00762F39">
        <w:fldChar w:fldCharType="end"/>
      </w:r>
      <w:r w:rsidR="00762F39">
        <w:t xml:space="preserve"> </w:t>
      </w:r>
      <w:r w:rsidR="00762F39">
        <w:fldChar w:fldCharType="begin"/>
      </w:r>
      <w:r w:rsidR="00263A23">
        <w:instrText xml:space="preserve"> ADDIN ZOTERO_ITEM CSL_CITATION {"citationID":"PnCjtgaE","properties":{"formattedCitation":"[21]","plainCitation":"[21]","noteIndex":0},"citationItems":[{"id":251,"uris":["http://zotero.org/users/13970490/items/SE4J744W"],"itemData":{"id":251,"type":"article-journal","abstract":"Disability is associated with depression in older persons, yet the effect of disability burden on the likelihood of being depressed is uncertain.A total of 754 community-living persons, aged ≥70, underwent monthly assessments in four essential activities of daily living and assessments of depression (yes/no) every 18 months for up to 108 months. Within each 18-month person-interval, participants’ disability burden was operationalized as none or any, and according to severity (none, mild, or severe) and chronicity (none, nonchronic, or chronic) given the highest level of severity or chronicity experienced during a given 18-month interval, respectively. A variable combining severity and chronicity (none, nonchronic mild, nonchronic severe, chronic–mild, or chronic–severe) was also created. Using generalized estimating equations, we evaluated the association between each indicator of disability burden and subsequent depression.Participants who had any versus no disability during the previous 18 months were 65% more likely to experience subsequent depression (OR = 1.65; 95% confidence interval [CI] 1.34, 2.02). Quantifying severity (mild disability vs. none, OR = 1.43; 95% CI: 1.15, 1.79; severe disability vs. none, OR = 2.07; 95% CI 1.56, 2.74) and chronicity (nonchronic disability vs. none, OR = 1.44; 95% CI 1.13, 1.83; chronic disability vs. none, OR = 1.96; 95% CI 1.50, 2.55) indicated increasingly stronger associations with subsequent depression, with the highest likelihood of subsequent depression (OR = 2.42; 95% CI 1.78, 3.30) observed among participants with chronic–severe disability.Quantifying the magnitude of disability burden, particularly on the basis of severity and chronicity, provides additional information regarding the likelihood of experiencing subsequent depression among older persons.","container-title":"The Journals of Gerontology: Series A","DOI":"10.1093/gerona/gls179","issue":"3","page":"286-292","title":"Association Between Indicators of Disability Burden and Subsequent Depression Among Older Persons","volume":"68","author":[{"family":"Barry","given":"Lisa C."},{"family":"Soulos","given":"Pamela R."},{"family":"Murphy","given":"Terrence E."},{"family":"Kasl","given":"Stanislav V."},{"family":"Gill","given":"Thomas M."}],"issued":{"date-parts":[["2013"]]}}}],"schema":"https://github.com/citation-style-language/schema/raw/master/csl-citation.json"} </w:instrText>
      </w:r>
      <w:r w:rsidR="00762F39">
        <w:fldChar w:fldCharType="separate"/>
      </w:r>
      <w:r w:rsidR="00263A23" w:rsidRPr="00263A23">
        <w:rPr>
          <w:rFonts w:ascii="Calibri" w:hAnsi="Calibri" w:cs="Calibri"/>
        </w:rPr>
        <w:t>[21]</w:t>
      </w:r>
      <w:r w:rsidR="00762F39">
        <w:fldChar w:fldCharType="end"/>
      </w:r>
      <w:r w:rsidR="00762F39">
        <w:t xml:space="preserve"> </w:t>
      </w:r>
      <w:r w:rsidR="00762F39">
        <w:fldChar w:fldCharType="begin"/>
      </w:r>
      <w:r w:rsidR="00263A23">
        <w:instrText xml:space="preserve"> ADDIN ZOTERO_ITEM CSL_CITATION {"citationID":"UeXrhSFk","properties":{"formattedCitation":"[22]","plainCitation":"[22]","noteIndex":0},"citationItems":[{"id":249,"uris":["http://zotero.org/users/13970490/items/YWYYHPV5"],"itemData":{"id":249,"type":"article-journal","abstract":"Until recently, caregiving research focused almost exclusively on caregivers of older adults with health problems, and there was little focus on care recipients perceptions of the care they receive. The present article reviews relevant research on reactions to caregiving assistance. Several recent studies indicate that help in these contexts can be viewed negatively by care recipients. As many as two thirds of physically impaired older adults who receive assistance with daily activities, such as preparing meals, climbing stairs, or dressing, experience negative reactions to some of the help they receive. Negative reactions seem to have important consequences for the care recipient, because they are associated with higher depression concurrently and 1 year later. Because some of the findings are inconsistent with theoretical models of negative responses to help, an alternative framework, based on socialsupport and social-conflict research, is briefly proposed.","container-title":"Current Directions in Psychological Science","DOI":"10.1111/1467-8721.00043","issue":"6","page":"183-187","title":"Another Side to Caregiving: Negative Reactions to Being Helped","volume":"8","author":[{"family":"Newsom","given":"Jason T."}],"issued":{"date-parts":[["1999"]]}}}],"schema":"https://github.com/citation-style-language/schema/raw/master/csl-citation.json"} </w:instrText>
      </w:r>
      <w:r w:rsidR="00762F39">
        <w:fldChar w:fldCharType="separate"/>
      </w:r>
      <w:r w:rsidR="00263A23" w:rsidRPr="00263A23">
        <w:rPr>
          <w:rFonts w:ascii="Calibri" w:hAnsi="Calibri" w:cs="Calibri"/>
        </w:rPr>
        <w:t>[22]</w:t>
      </w:r>
      <w:r w:rsidR="00762F39">
        <w:fldChar w:fldCharType="end"/>
      </w:r>
      <w:r w:rsidR="00762F39">
        <w:t xml:space="preserve"> </w:t>
      </w:r>
      <w:r w:rsidR="00156925">
        <w:t xml:space="preserve">which may </w:t>
      </w:r>
      <w:r w:rsidR="00B872E5">
        <w:t xml:space="preserve">result in a progressively worsening feedforward loop </w:t>
      </w:r>
      <w:r w:rsidR="00762F39">
        <w:fldChar w:fldCharType="begin"/>
      </w:r>
      <w:r w:rsidR="00263A23">
        <w:instrText xml:space="preserve"> ADDIN ZOTERO_ITEM CSL_CITATION {"citationID":"9NNypmdA","properties":{"formattedCitation":"[8]","plainCitation":"[8]","noteIndex":0},"citationItems":[{"id":269,"uris":["http://zotero.org/users/13970490/items/JL6J53E4"],"itemData":{"id":269,"type":"article-journal","title":"Malnutrition and Dehydration in Nursing Homes: Key Issues in Prevention and Treatment","author":[{"family":"Burger","given":"Sarah Greene"},{"family":"Kayser-Jones","given":"Jeanie"},{"family":"Bell","given":"Julie Prince"}]}}],"schema":"https://github.com/citation-style-language/schema/raw/master/csl-citation.json"} </w:instrText>
      </w:r>
      <w:r w:rsidR="00762F39">
        <w:fldChar w:fldCharType="separate"/>
      </w:r>
      <w:r w:rsidR="00263A23" w:rsidRPr="00263A23">
        <w:rPr>
          <w:rFonts w:ascii="Calibri" w:hAnsi="Calibri" w:cs="Calibri"/>
        </w:rPr>
        <w:t>[8]</w:t>
      </w:r>
      <w:r w:rsidR="00762F39">
        <w:fldChar w:fldCharType="end"/>
      </w:r>
      <w:r w:rsidR="0072346B">
        <w:t xml:space="preserve"> </w:t>
      </w:r>
      <w:r w:rsidR="0072346B">
        <w:fldChar w:fldCharType="begin"/>
      </w:r>
      <w:r w:rsidR="00263A23">
        <w:instrText xml:space="preserve"> ADDIN ZOTERO_ITEM CSL_CITATION {"citationID":"gkb3pfsz","properties":{"formattedCitation":"[23]","plainCitation":"[23]","noteIndex":0},"citationItems":[{"id":104,"uris":["http://zotero.org/users/13970490/items/3R66JCR8"],"itemData":{"id":104,"type":"article-journal","abstract":"Background: Malnutrition and depression are highly prevalent in older adults and can lead to disparaging outcomes. Analytical studies on geriatric depression (GD) and its association with malnutrition are very scarce in Bangladesh, although the size of the older population is increasing fast in the country. The current study aimed to assess the association between malnutrition and depression and associated risk factors in rural older adults.\nMethods: A community-based comparative cross-sectional study was conducted in 600 older adult residents (aged ≥60 years) of three rural communities of Bangladesh from January to October 2019. The study enrolled two groups of participants; 300 depressed as cases and another 300 non-depressed older adults as a comparison group matching their age and living area. We used a semi-structured questionnaire to collect data through a face-to-face interview. Geriatric Depression Scale-15 was used to determine depression, and a score of ≥5 was considered as depressed. We used the Bangla version of the Mini-Nutritional Assessment-Short Form to assess nutritional status, which comprised questions related to appetite, weight loss, mobility, recent illness/stress, dementia/depression, and BMI, and considered a score of 0-7 as the cutoff score for malnutrition. Measures included baseline and personal characteristics, malnutrition, GD, and its associated risk factors. A binary logistic regression model was fitted to identify variables associated with the risk of GD.\nResults: The study found no significant difference in gender (male Vs. female) between depressed (44.0% Vs. 56.0%) and non-depressed (46.0% Vs. 54.0%) older individuals. The study revealed that malnutrition was significantly (p &lt; 0.01) higher in depressed (56.0%) than in non-depressed (18.0%) rural older adults. The malnourished older adults had around three times (AOR = 3.155; 95% CI: 1.53-6.49, p = 0.002) more risk of having depression than the well-nourished older individuals. Older adults who were unemployed (AOR = 4.964; 95% CI: 2.361-10.440; p = 0.0001) and from lower and middle class (AOR = 3.654; 95% CI: 2.266-7.767; p = 0.001) were more likely to experience depression. Older adults having a 'poor diet' were more likely to experience depression (AOR = 3.384; 95% CI: 1.764-6.703; p = 0.0001). The rural older adults who were single (AOR = 2.368; 95% CI: 1.762-6.524; p = 0.001) and tobacco users (AOR = 2.332; 95% CI: 1.663-5.623; p = 0.003) were found more likely to experience depression.\nConclusions: A significant association between malnutrition and depression was evident by the current study in the rural older individuals of Bangladesh. It will be a prolific initiative if policymakers merge malnutrition and the risk factors associated with geriatric depression in providing universal health care for better health and well-being of the rural older populations.\nKeywords: GDS; Geriatric depression; MNA-SF; Malnutrition; Older adults; Rural Bangladesh.","container-title":"BMC Geriatrics","DOI":"10.1186/s12877-021-02535-w","issue":"1","page":"572","title":"Malnutrition and other risk factors of geriatric depression: a community-based comparative cross-sectional study in older adults in rural Bangladesh","volume":"21","author":[{"family":"Islam","given":"Md Ziaul"},{"family":"Disu","given":"Tasnim Rahman"},{"family":"Farjana","given":"Sharmin"},{"family":"Rahman","given":"Mohammad Meshbahur"}],"issued":{"date-parts":[["2021"]]}}}],"schema":"https://github.com/citation-style-language/schema/raw/master/csl-citation.json"} </w:instrText>
      </w:r>
      <w:r w:rsidR="0072346B">
        <w:fldChar w:fldCharType="separate"/>
      </w:r>
      <w:r w:rsidR="00263A23" w:rsidRPr="00263A23">
        <w:rPr>
          <w:rFonts w:ascii="Calibri" w:hAnsi="Calibri" w:cs="Calibri"/>
        </w:rPr>
        <w:t>[23]</w:t>
      </w:r>
      <w:r w:rsidR="0072346B">
        <w:fldChar w:fldCharType="end"/>
      </w:r>
      <w:r w:rsidR="00B872E5">
        <w:t>.</w:t>
      </w:r>
      <w:r w:rsidR="00476363">
        <w:t xml:space="preserve"> </w:t>
      </w:r>
      <w:r w:rsidR="00026C2F">
        <w:rPr>
          <w:rFonts w:cstheme="minorHAnsi"/>
        </w:rPr>
        <w:t xml:space="preserve">Therefore, </w:t>
      </w:r>
      <w:r>
        <w:rPr>
          <w:rFonts w:cstheme="minorHAnsi"/>
        </w:rPr>
        <w:t xml:space="preserve">the lower technology products, solutions and adaptive methods leave my </w:t>
      </w:r>
      <w:r w:rsidR="00026C2F">
        <w:rPr>
          <w:rFonts w:cstheme="minorHAnsi"/>
        </w:rPr>
        <w:t xml:space="preserve">patient completely </w:t>
      </w:r>
      <w:r w:rsidR="00026C2F" w:rsidRPr="00A465A9">
        <w:rPr>
          <w:rFonts w:cstheme="minorHAnsi"/>
        </w:rPr>
        <w:t>disabled</w:t>
      </w:r>
      <w:r w:rsidR="009733A2" w:rsidRPr="00A465A9">
        <w:rPr>
          <w:rFonts w:cstheme="minorHAnsi"/>
        </w:rPr>
        <w:t xml:space="preserve"> </w:t>
      </w:r>
      <w:r w:rsidR="00A465A9" w:rsidRPr="00A465A9">
        <w:rPr>
          <w:rFonts w:cstheme="minorHAnsi"/>
        </w:rPr>
        <w:t xml:space="preserve">for functional eating performance </w:t>
      </w:r>
      <w:r w:rsidR="009733A2" w:rsidRPr="00A465A9">
        <w:rPr>
          <w:rFonts w:cstheme="minorHAnsi"/>
        </w:rPr>
        <w:t>and way below developmental standards</w:t>
      </w:r>
      <w:r w:rsidR="009733A2">
        <w:rPr>
          <w:rFonts w:cstheme="minorHAnsi"/>
        </w:rPr>
        <w:t xml:space="preserve">. </w:t>
      </w:r>
    </w:p>
    <w:p w14:paraId="2166E5F6" w14:textId="3923733E" w:rsidR="00537AA0" w:rsidRPr="001B36D6" w:rsidRDefault="00476363" w:rsidP="00A44D2F">
      <w:pPr>
        <w:rPr>
          <w:rFonts w:cstheme="minorHAnsi"/>
        </w:rPr>
      </w:pPr>
      <w:r>
        <w:t>R</w:t>
      </w:r>
      <w:r w:rsidRPr="00A5674C">
        <w:t>obotics has increasingly emerged as a pivotal component of assistive technolog</w:t>
      </w:r>
      <w:r>
        <w:t>y</w:t>
      </w:r>
      <w:r w:rsidRPr="00A5674C">
        <w:t xml:space="preserve"> in rehabilitation</w:t>
      </w:r>
      <w:r w:rsidR="0072346B">
        <w:t xml:space="preserve"> </w:t>
      </w:r>
      <w:r w:rsidR="0072346B">
        <w:fldChar w:fldCharType="begin"/>
      </w:r>
      <w:r w:rsidR="00263A23">
        <w:instrText xml:space="preserve"> ADDIN ZOTERO_ITEM CSL_CITATION {"citationID":"r4xDOMcY","properties":{"formattedCitation":"[24]","plainCitation":"[24]","noteIndex":0},"citationItems":[{"id":308,"uris":["http://zotero.org/users/13970490/items/PETN8WZ3"],"itemData":{"id":308,"type":"paper-conference","DOI":"10.1145/3568162.3576988","ISBN":"978-1-4503-9964-7","page":"24-33","publisher":"ACM","title":"Design Principles for Robot-Assisted Feeding in Social Contexts","author":[{"family":"Nanavati","given":"Amal"},{"family":"Alves-Oliveira","given":"Patricia"},{"family":"Schrenk","given":"Tyler"},{"family":"Gordon","given":"Ethan K."},{"family":"Cakmak","given":"Maya"},{"family":"Srinivasa","given":"Siddhartha S."}],"issued":{"date-parts":[["2023"]]}}}],"schema":"https://github.com/citation-style-language/schema/raw/master/csl-citation.json"} </w:instrText>
      </w:r>
      <w:r w:rsidR="0072346B">
        <w:fldChar w:fldCharType="separate"/>
      </w:r>
      <w:r w:rsidR="00263A23" w:rsidRPr="00263A23">
        <w:rPr>
          <w:rFonts w:ascii="Calibri" w:hAnsi="Calibri" w:cs="Calibri"/>
        </w:rPr>
        <w:t>[24]</w:t>
      </w:r>
      <w:r w:rsidR="0072346B">
        <w:fldChar w:fldCharType="end"/>
      </w:r>
      <w:r>
        <w:t xml:space="preserve">. </w:t>
      </w:r>
      <w:r w:rsidR="00975387">
        <w:t>A clinical study</w:t>
      </w:r>
      <w:r w:rsidR="00D11C06">
        <w:t xml:space="preserve"> published in 2025</w:t>
      </w:r>
      <w:r w:rsidR="00975387">
        <w:t xml:space="preserve"> found that Obi can significantly enhance feeding independence for individuals </w:t>
      </w:r>
      <w:r w:rsidR="000028F7">
        <w:t xml:space="preserve">of a broad age span </w:t>
      </w:r>
      <w:r w:rsidR="00975387">
        <w:t>with UEMI limitations, promoting autonomy, nutritional intake and social participation. The author goes on to say “</w:t>
      </w:r>
      <w:r w:rsidR="002249F6" w:rsidRPr="002249F6">
        <w:t>Obi has the potential clinical benefit to improve quality of life and to alleviate or prevent medical issues known to be associated with impaired functional eating</w:t>
      </w:r>
      <w:r w:rsidR="00FB4F1A">
        <w:t xml:space="preserve"> </w:t>
      </w:r>
      <w:r w:rsidR="00FB4F1A">
        <w:fldChar w:fldCharType="begin"/>
      </w:r>
      <w:r w:rsidR="00FB4F1A">
        <w:instrText xml:space="preserve"> ADDIN ZOTERO_ITEM CSL_CITATION {"citationID":"cpxAsrsL","properties":{"formattedCitation":"[1]","plainCitation":"[1]","noteIndex":0},"citationItems":[{"id":1342,"uris":["http://zotero.org/groups/5496641/items/HZBC5L6G"],"itemData":{"id":1342,"type":"article-journal","container-title":"Assistive Technology Outcomes and Benefits (ATOB)","title":"The Use of Obi Robot for Self-Feeding with Individuals with Upper Extremity Limitations.","volume":"19","author":[{"family":"Burgos","given":"B.B."}],"issued":{"date-parts":[["2025"]]}}}],"schema":"https://github.com/citation-style-language/schema/raw/master/csl-citation.json"} </w:instrText>
      </w:r>
      <w:r w:rsidR="00FB4F1A">
        <w:fldChar w:fldCharType="separate"/>
      </w:r>
      <w:r w:rsidR="00FB4F1A" w:rsidRPr="00FB4F1A">
        <w:rPr>
          <w:rFonts w:ascii="Calibri" w:hAnsi="Calibri" w:cs="Calibri"/>
        </w:rPr>
        <w:t>[1]</w:t>
      </w:r>
      <w:r w:rsidR="00FB4F1A">
        <w:fldChar w:fldCharType="end"/>
      </w:r>
      <w:r w:rsidR="000028F7">
        <w:t xml:space="preserve">.” </w:t>
      </w:r>
      <w:r w:rsidR="001B36D6">
        <w:rPr>
          <w:rFonts w:cstheme="minorHAnsi"/>
        </w:rPr>
        <w:t>For this reason, m</w:t>
      </w:r>
      <w:r w:rsidR="00F36738">
        <w:rPr>
          <w:rFonts w:cstheme="minorHAnsi"/>
        </w:rPr>
        <w:t>y patient was then assessed</w:t>
      </w:r>
      <w:r w:rsidR="00D2363F">
        <w:rPr>
          <w:rFonts w:cstheme="minorHAnsi"/>
        </w:rPr>
        <w:t xml:space="preserve"> </w:t>
      </w:r>
      <w:r w:rsidR="001B36D6">
        <w:rPr>
          <w:rFonts w:cstheme="minorHAnsi"/>
        </w:rPr>
        <w:t xml:space="preserve">for </w:t>
      </w:r>
      <w:bookmarkStart w:id="1" w:name="_Hlk194402198"/>
      <w:r w:rsidR="001B36D6">
        <w:rPr>
          <w:rFonts w:cstheme="minorHAnsi"/>
        </w:rPr>
        <w:t>a</w:t>
      </w:r>
      <w:r w:rsidR="002249F6">
        <w:rPr>
          <w:rFonts w:cstheme="minorHAnsi"/>
        </w:rPr>
        <w:t xml:space="preserve">n </w:t>
      </w:r>
      <w:r w:rsidR="005317A1">
        <w:rPr>
          <w:rFonts w:cstheme="minorHAnsi"/>
        </w:rPr>
        <w:t>Obi</w:t>
      </w:r>
      <w:bookmarkEnd w:id="1"/>
      <w:r w:rsidR="001B36D6">
        <w:rPr>
          <w:rFonts w:cstheme="minorHAnsi"/>
        </w:rPr>
        <w:t>. I</w:t>
      </w:r>
      <w:r w:rsidR="00D2363F">
        <w:rPr>
          <w:rFonts w:cstheme="minorHAnsi"/>
        </w:rPr>
        <w:t xml:space="preserve">n accordance with the Obi </w:t>
      </w:r>
      <w:r w:rsidR="00A465A9">
        <w:rPr>
          <w:rFonts w:cstheme="minorHAnsi"/>
        </w:rPr>
        <w:t>Instructions for Use</w:t>
      </w:r>
      <w:r w:rsidR="00E9355A">
        <w:rPr>
          <w:rFonts w:cstheme="minorHAnsi"/>
        </w:rPr>
        <w:t>, my patient</w:t>
      </w:r>
      <w:r w:rsidR="00D2363F">
        <w:rPr>
          <w:rFonts w:cstheme="minorHAnsi"/>
        </w:rPr>
        <w:t xml:space="preserve"> was found to conform with all </w:t>
      </w:r>
      <w:r w:rsidR="00A465A9">
        <w:rPr>
          <w:rFonts w:cstheme="minorHAnsi"/>
        </w:rPr>
        <w:t>indications</w:t>
      </w:r>
      <w:r w:rsidR="00D2363F">
        <w:rPr>
          <w:rFonts w:cstheme="minorHAnsi"/>
        </w:rPr>
        <w:t>,</w:t>
      </w:r>
      <w:r w:rsidR="00375388">
        <w:rPr>
          <w:rFonts w:cstheme="minorHAnsi"/>
        </w:rPr>
        <w:t xml:space="preserve"> with a favorable benefit-risk ratio</w:t>
      </w:r>
      <w:r w:rsidR="00537AA0" w:rsidRPr="00AF4AD8">
        <w:rPr>
          <w:rFonts w:cstheme="minorHAnsi"/>
        </w:rPr>
        <w:t>.</w:t>
      </w:r>
    </w:p>
    <w:p w14:paraId="5B5C9478" w14:textId="5582DC80" w:rsidR="0039382D" w:rsidRPr="0039382D" w:rsidRDefault="00AF4AD8" w:rsidP="0039382D">
      <w:pPr>
        <w:rPr>
          <w:rFonts w:cstheme="minorHAnsi"/>
        </w:rPr>
      </w:pPr>
      <w:r>
        <w:rPr>
          <w:b/>
          <w:bCs/>
        </w:rPr>
        <w:t>Office Assessment</w:t>
      </w:r>
      <w:r w:rsidR="00E90144" w:rsidRPr="00E90144">
        <w:rPr>
          <w:b/>
          <w:bCs/>
        </w:rPr>
        <w:t>:</w:t>
      </w:r>
      <w:r w:rsidR="00324640" w:rsidRPr="00441BF2">
        <w:t xml:space="preserve"> </w:t>
      </w:r>
      <w:r w:rsidR="000705B6" w:rsidRPr="00441BF2">
        <w:t>Followin</w:t>
      </w:r>
      <w:r w:rsidR="002413B7">
        <w:t>g</w:t>
      </w:r>
      <w:r w:rsidR="00E92C9A">
        <w:t xml:space="preserve"> the Pre-screening</w:t>
      </w:r>
      <w:r w:rsidR="000705B6">
        <w:t xml:space="preserve">, I </w:t>
      </w:r>
      <w:r w:rsidR="00E9355A">
        <w:t xml:space="preserve">continued my assessment </w:t>
      </w:r>
      <w:r w:rsidR="000705B6">
        <w:t>during an in-office visit</w:t>
      </w:r>
      <w:r w:rsidR="006D1021" w:rsidRPr="006D1021">
        <w:t xml:space="preserve"> </w:t>
      </w:r>
      <w:r w:rsidR="006D1021">
        <w:t xml:space="preserve">at </w:t>
      </w:r>
      <w:sdt>
        <w:sdtPr>
          <w:id w:val="1650704101"/>
          <w:placeholder>
            <w:docPart w:val="97DED767CB204BFC9DD31E561BC98C17"/>
          </w:placeholder>
          <w:showingPlcHdr/>
          <w:text/>
        </w:sdtPr>
        <w:sdtEndPr>
          <w:rPr>
            <w:color w:val="00B0F0"/>
          </w:rPr>
        </w:sdtEndPr>
        <w:sdtContent>
          <w:r w:rsidR="006D1021" w:rsidRPr="000C7E40">
            <w:rPr>
              <w:color w:val="00B0F0"/>
            </w:rPr>
            <w:t>[INSERT FACILITY NAME AND INPATIENT/OUTPATIENT STATUS]</w:t>
          </w:r>
        </w:sdtContent>
      </w:sdt>
      <w:r w:rsidR="006D1021">
        <w:t>.</w:t>
      </w:r>
      <w:r w:rsidR="000705B6">
        <w:t xml:space="preserve"> </w:t>
      </w:r>
    </w:p>
    <w:p w14:paraId="7E35010A" w14:textId="77777777" w:rsidR="00375388" w:rsidRDefault="003410A0" w:rsidP="000D50B0">
      <w:r>
        <w:t xml:space="preserve"> </w:t>
      </w:r>
      <w:sdt>
        <w:sdtPr>
          <w:id w:val="-517466386"/>
          <w:placeholder>
            <w:docPart w:val="CC1F8952A99B4C60A7B24069C04D1CEC"/>
          </w:placeholder>
          <w:showingPlcHdr/>
          <w:text/>
        </w:sdtPr>
        <w:sdtEndPr>
          <w:rPr>
            <w:b/>
            <w:bCs/>
          </w:rPr>
        </w:sdtEndPr>
        <w:sdtContent>
          <w:r w:rsidR="008A1C1A" w:rsidRPr="004B28F4">
            <w:rPr>
              <w:color w:val="00B0F0"/>
            </w:rPr>
            <w:t xml:space="preserve">PRIOR TO OBI, </w:t>
          </w:r>
          <w:r w:rsidR="008A1C1A" w:rsidRPr="00065E8A">
            <w:rPr>
              <w:rStyle w:val="PlaceholderText"/>
              <w:color w:val="00B0F0"/>
            </w:rPr>
            <w:t xml:space="preserve">IF THE </w:t>
          </w:r>
          <w:r w:rsidR="008A1C1A">
            <w:rPr>
              <w:rStyle w:val="PlaceholderText"/>
              <w:color w:val="00B0F0"/>
            </w:rPr>
            <w:t xml:space="preserve">BASELINE </w:t>
          </w:r>
          <w:r w:rsidR="008A1C1A" w:rsidRPr="00065E8A">
            <w:rPr>
              <w:rStyle w:val="PlaceholderText"/>
              <w:color w:val="00B0F0"/>
            </w:rPr>
            <w:t xml:space="preserve">LEVEL OF </w:t>
          </w:r>
          <w:r w:rsidR="008A1C1A">
            <w:rPr>
              <w:rStyle w:val="PlaceholderText"/>
              <w:color w:val="00B0F0"/>
            </w:rPr>
            <w:t>HEALTH RISKS/</w:t>
          </w:r>
          <w:r w:rsidR="008A1C1A" w:rsidRPr="00065E8A">
            <w:rPr>
              <w:rStyle w:val="PlaceholderText"/>
              <w:color w:val="00B0F0"/>
            </w:rPr>
            <w:t>IMPAIRMENT</w:t>
          </w:r>
          <w:r w:rsidR="008A1C1A">
            <w:rPr>
              <w:rStyle w:val="PlaceholderText"/>
              <w:color w:val="00B0F0"/>
            </w:rPr>
            <w:t>S</w:t>
          </w:r>
          <w:r w:rsidR="008A1C1A" w:rsidRPr="00065E8A">
            <w:rPr>
              <w:rStyle w:val="PlaceholderText"/>
              <w:color w:val="00B0F0"/>
            </w:rPr>
            <w:t xml:space="preserve"> HAS </w:t>
          </w:r>
          <w:r w:rsidR="008A1C1A">
            <w:rPr>
              <w:rStyle w:val="PlaceholderText"/>
              <w:color w:val="00B0F0"/>
            </w:rPr>
            <w:t xml:space="preserve">RECENTLY </w:t>
          </w:r>
          <w:r w:rsidR="008A1C1A" w:rsidRPr="00065E8A">
            <w:rPr>
              <w:rStyle w:val="PlaceholderText"/>
              <w:color w:val="00B0F0"/>
            </w:rPr>
            <w:t>GROWN MORE SEVERE</w:t>
          </w:r>
          <w:r w:rsidR="008A1C1A">
            <w:rPr>
              <w:rStyle w:val="PlaceholderText"/>
              <w:color w:val="00B0F0"/>
            </w:rPr>
            <w:t xml:space="preserve"> OR WILL LIKELY CONTINUE TO WORSEN</w:t>
          </w:r>
          <w:r w:rsidR="008A1C1A" w:rsidRPr="00065E8A">
            <w:rPr>
              <w:rStyle w:val="PlaceholderText"/>
              <w:color w:val="00B0F0"/>
            </w:rPr>
            <w:t xml:space="preserve"> DUE TO IMPAIRED FUNCTIONAL EATING, MENTION SO HERE.</w:t>
          </w:r>
        </w:sdtContent>
      </w:sdt>
      <w:r w:rsidR="008A1C1A">
        <w:t xml:space="preserve"> </w:t>
      </w:r>
    </w:p>
    <w:p w14:paraId="25F28A42" w14:textId="4ED3C48B" w:rsidR="009F4771" w:rsidRDefault="003A0C6C" w:rsidP="000D50B0">
      <w:r>
        <w:t xml:space="preserve">My observations are </w:t>
      </w:r>
      <w:r w:rsidR="00BC3D38">
        <w:t>in alignment with</w:t>
      </w:r>
      <w:r>
        <w:t xml:space="preserve"> well-established findings in the clinical literature</w:t>
      </w:r>
      <w:r w:rsidR="00B872E5">
        <w:t xml:space="preserve"> see as already stated above (see</w:t>
      </w:r>
      <w:r w:rsidR="00E92C9A">
        <w:t xml:space="preserve"> Pre-Screening</w:t>
      </w:r>
      <w:r w:rsidR="00B872E5">
        <w:t>)</w:t>
      </w:r>
      <w:r w:rsidR="009F4771">
        <w:t xml:space="preserve">. </w:t>
      </w:r>
    </w:p>
    <w:p w14:paraId="3C4FBFCC" w14:textId="1199B6D0" w:rsidR="00982EF8" w:rsidRPr="0039382D" w:rsidRDefault="00681912" w:rsidP="000D50B0">
      <w:pPr>
        <w:rPr>
          <w:highlight w:val="yellow"/>
        </w:rPr>
      </w:pPr>
      <w:r>
        <w:t xml:space="preserve">The device was then individualized for my patient, including: the controlling switch type, location, and body part used for activation. These customizations are appropriate and consistent with the symptoms of the primary diagnosis under treatment. </w:t>
      </w:r>
      <w:r w:rsidRPr="0005628E">
        <w:rPr>
          <w:rFonts w:cstheme="minorHAnsi"/>
        </w:rPr>
        <w:t xml:space="preserve">During this assessment, I found </w:t>
      </w:r>
      <w:sdt>
        <w:sdtPr>
          <w:rPr>
            <w:rFonts w:cstheme="minorHAnsi"/>
          </w:rPr>
          <w:id w:val="1396321880"/>
          <w:placeholder>
            <w:docPart w:val="1983235FC96D4061A51706BB0A61E11B"/>
          </w:placeholder>
          <w:showingPlcHdr/>
          <w:text/>
        </w:sdtPr>
        <w:sdtContent>
          <w:r w:rsidR="009401F7" w:rsidRPr="009401F7">
            <w:rPr>
              <w:rFonts w:cstheme="minorHAnsi"/>
              <w:color w:val="00B0F0"/>
            </w:rPr>
            <w:t>[INSERT PATIENT NAME]</w:t>
          </w:r>
        </w:sdtContent>
      </w:sdt>
      <w:r>
        <w:rPr>
          <w:rFonts w:cstheme="minorHAnsi"/>
        </w:rPr>
        <w:t>consistently</w:t>
      </w:r>
      <w:r w:rsidRPr="0005628E">
        <w:rPr>
          <w:rFonts w:cstheme="minorHAnsi"/>
        </w:rPr>
        <w:t xml:space="preserve"> </w:t>
      </w:r>
      <w:r>
        <w:rPr>
          <w:rFonts w:cstheme="minorHAnsi"/>
        </w:rPr>
        <w:t xml:space="preserve">used Obi </w:t>
      </w:r>
      <w:r w:rsidRPr="0005628E">
        <w:rPr>
          <w:rFonts w:cstheme="minorHAnsi"/>
        </w:rPr>
        <w:t xml:space="preserve">safely and effectively </w:t>
      </w:r>
      <w:r>
        <w:rPr>
          <w:rFonts w:cstheme="minorHAnsi"/>
        </w:rPr>
        <w:t xml:space="preserve">to restore </w:t>
      </w:r>
      <w:r w:rsidR="008A1C1A">
        <w:rPr>
          <w:rFonts w:cstheme="minorHAnsi"/>
        </w:rPr>
        <w:t xml:space="preserve">and </w:t>
      </w:r>
      <w:r w:rsidR="008A1C1A" w:rsidRPr="00AF1A96">
        <w:rPr>
          <w:rFonts w:cstheme="minorHAnsi"/>
        </w:rPr>
        <w:t xml:space="preserve">maintain </w:t>
      </w:r>
      <w:r w:rsidRPr="00AF1A96">
        <w:rPr>
          <w:rFonts w:cstheme="minorHAnsi"/>
        </w:rPr>
        <w:t>their functional eating performance</w:t>
      </w:r>
      <w:r w:rsidR="009733A2" w:rsidRPr="00AF1A96">
        <w:rPr>
          <w:rFonts w:cstheme="minorHAnsi"/>
        </w:rPr>
        <w:t xml:space="preserve"> and </w:t>
      </w:r>
      <w:r w:rsidR="008A1C1A" w:rsidRPr="00AF1A96">
        <w:rPr>
          <w:rFonts w:cstheme="minorHAnsi"/>
        </w:rPr>
        <w:t>age-appropriate</w:t>
      </w:r>
      <w:r w:rsidR="009733A2" w:rsidRPr="00AF1A96">
        <w:rPr>
          <w:rFonts w:cstheme="minorHAnsi"/>
        </w:rPr>
        <w:t xml:space="preserve"> development </w:t>
      </w:r>
      <w:r w:rsidR="008A1C1A" w:rsidRPr="00AF1A96">
        <w:rPr>
          <w:rFonts w:cstheme="minorHAnsi"/>
        </w:rPr>
        <w:t>level</w:t>
      </w:r>
      <w:r w:rsidR="009401F7" w:rsidRPr="00AF1A96">
        <w:rPr>
          <w:rFonts w:cstheme="minorHAnsi"/>
        </w:rPr>
        <w:t xml:space="preserve">. </w:t>
      </w:r>
      <w:r w:rsidR="003D03CA" w:rsidRPr="00AF1A96">
        <w:rPr>
          <w:rFonts w:cstheme="minorHAnsi"/>
        </w:rPr>
        <w:t xml:space="preserve"> It was also possible for</w:t>
      </w:r>
      <w:r w:rsidR="009401F7" w:rsidRPr="00AF1A96">
        <w:rPr>
          <w:rFonts w:cstheme="minorHAnsi"/>
        </w:rPr>
        <w:t xml:space="preserve"> </w:t>
      </w:r>
      <w:r w:rsidR="003D03CA" w:rsidRPr="00AF1A96">
        <w:rPr>
          <w:rFonts w:cstheme="minorHAnsi"/>
        </w:rPr>
        <w:t>my patient</w:t>
      </w:r>
      <w:r w:rsidR="009401F7" w:rsidRPr="00AF1A96">
        <w:rPr>
          <w:rFonts w:cstheme="minorHAnsi"/>
        </w:rPr>
        <w:t xml:space="preserve"> to switch to a bowl of water for </w:t>
      </w:r>
      <w:r w:rsidR="00375388">
        <w:rPr>
          <w:rFonts w:cstheme="minorHAnsi"/>
        </w:rPr>
        <w:t xml:space="preserve">hydration </w:t>
      </w:r>
      <w:r w:rsidR="009401F7" w:rsidRPr="00AF1A96">
        <w:rPr>
          <w:rFonts w:cstheme="minorHAnsi"/>
        </w:rPr>
        <w:t>as needed throughout the meal.</w:t>
      </w:r>
    </w:p>
    <w:p w14:paraId="0127D5B1" w14:textId="7B31871C" w:rsidR="007A4712" w:rsidRDefault="000A5057" w:rsidP="000D50B0">
      <w:pPr>
        <w:rPr>
          <w:rFonts w:cstheme="minorHAnsi"/>
        </w:rPr>
      </w:pPr>
      <w:r w:rsidRPr="000A5057">
        <w:rPr>
          <w:b/>
          <w:bCs/>
        </w:rPr>
        <w:t>Post Trial Outcomes:</w:t>
      </w:r>
      <w:r w:rsidR="00681912">
        <w:rPr>
          <w:b/>
          <w:bCs/>
        </w:rPr>
        <w:t xml:space="preserve"> </w:t>
      </w:r>
      <w:r w:rsidR="00681912" w:rsidRPr="008A1C1A">
        <w:rPr>
          <w:rFonts w:cstheme="minorHAnsi"/>
        </w:rPr>
        <w:t>Following an extensive</w:t>
      </w:r>
      <w:r w:rsidR="003D03CA">
        <w:rPr>
          <w:rFonts w:cstheme="minorHAnsi"/>
        </w:rPr>
        <w:t xml:space="preserve"> Obi</w:t>
      </w:r>
      <w:r w:rsidR="00681912" w:rsidRPr="008A1C1A">
        <w:rPr>
          <w:rFonts w:cstheme="minorHAnsi"/>
        </w:rPr>
        <w:t xml:space="preserve"> trial period at home,</w:t>
      </w:r>
      <w:r w:rsidR="00681912" w:rsidRPr="008A1C1A">
        <w:rPr>
          <w:rFonts w:cstheme="minorHAnsi"/>
          <w:b/>
          <w:bCs/>
        </w:rPr>
        <w:t xml:space="preserve"> </w:t>
      </w:r>
      <w:r w:rsidR="00681912" w:rsidRPr="008A1C1A">
        <w:rPr>
          <w:rFonts w:cstheme="minorHAnsi"/>
        </w:rPr>
        <w:t xml:space="preserve">my patient </w:t>
      </w:r>
      <w:r w:rsidR="009401F7">
        <w:rPr>
          <w:rFonts w:cstheme="minorHAnsi"/>
        </w:rPr>
        <w:t xml:space="preserve">reliably adhered to </w:t>
      </w:r>
      <w:r w:rsidR="00681912" w:rsidRPr="008A1C1A">
        <w:rPr>
          <w:rFonts w:cstheme="minorHAnsi"/>
        </w:rPr>
        <w:t>Ob</w:t>
      </w:r>
      <w:r w:rsidR="000601E5">
        <w:rPr>
          <w:rFonts w:cstheme="minorHAnsi"/>
        </w:rPr>
        <w:t>i</w:t>
      </w:r>
      <w:r w:rsidR="003D03CA">
        <w:rPr>
          <w:rFonts w:cstheme="minorHAnsi"/>
        </w:rPr>
        <w:t xml:space="preserve"> during that time</w:t>
      </w:r>
      <w:r w:rsidR="000601E5">
        <w:rPr>
          <w:rFonts w:cstheme="minorHAnsi"/>
        </w:rPr>
        <w:t xml:space="preserve">, thereby </w:t>
      </w:r>
      <w:r w:rsidR="00DD1060">
        <w:rPr>
          <w:rFonts w:cstheme="minorHAnsi"/>
        </w:rPr>
        <w:t xml:space="preserve">safely and effectively </w:t>
      </w:r>
      <w:r w:rsidR="000601E5">
        <w:rPr>
          <w:rFonts w:cstheme="minorHAnsi"/>
        </w:rPr>
        <w:t>restoring</w:t>
      </w:r>
      <w:r w:rsidR="00681912" w:rsidRPr="008A1C1A">
        <w:rPr>
          <w:rFonts w:cstheme="minorHAnsi"/>
        </w:rPr>
        <w:t xml:space="preserve"> their functional eating performance</w:t>
      </w:r>
      <w:r w:rsidR="000601E5">
        <w:rPr>
          <w:rFonts w:cstheme="minorHAnsi"/>
        </w:rPr>
        <w:t xml:space="preserve"> and </w:t>
      </w:r>
      <w:r w:rsidR="00A63AAD">
        <w:rPr>
          <w:rFonts w:cstheme="minorHAnsi"/>
        </w:rPr>
        <w:t xml:space="preserve">associated </w:t>
      </w:r>
      <w:r w:rsidR="00663783">
        <w:rPr>
          <w:rFonts w:cstheme="minorHAnsi"/>
        </w:rPr>
        <w:t>age-appropriate</w:t>
      </w:r>
      <w:r w:rsidR="000601E5">
        <w:rPr>
          <w:rFonts w:cstheme="minorHAnsi"/>
        </w:rPr>
        <w:t xml:space="preserve"> development</w:t>
      </w:r>
      <w:r w:rsidR="00375388">
        <w:rPr>
          <w:rFonts w:cstheme="minorHAnsi"/>
        </w:rPr>
        <w:t xml:space="preserve"> with a favorable benefit-risk ratio</w:t>
      </w:r>
      <w:r w:rsidR="009A1B97" w:rsidRPr="008A1C1A">
        <w:rPr>
          <w:rFonts w:cstheme="minorHAnsi"/>
        </w:rPr>
        <w:t xml:space="preserve">. </w:t>
      </w:r>
      <w:r w:rsidR="005317A1">
        <w:rPr>
          <w:rFonts w:cstheme="minorHAnsi"/>
        </w:rPr>
        <w:t>Throughout the trial, and over a sufficient number of meals to provide an accurate assessment, m</w:t>
      </w:r>
      <w:r w:rsidR="005317A1" w:rsidRPr="008A1C1A">
        <w:rPr>
          <w:rFonts w:cstheme="minorHAnsi"/>
          <w:color w:val="202124"/>
          <w:shd w:val="clear" w:color="auto" w:fill="FFFFFF"/>
        </w:rPr>
        <w:t xml:space="preserve">y patient managed to consistently eat </w:t>
      </w:r>
      <w:r w:rsidR="005317A1">
        <w:rPr>
          <w:rFonts w:cstheme="minorHAnsi"/>
          <w:color w:val="202124"/>
          <w:shd w:val="clear" w:color="auto" w:fill="FFFFFF"/>
        </w:rPr>
        <w:t xml:space="preserve">served </w:t>
      </w:r>
      <w:r w:rsidR="005317A1" w:rsidRPr="008A1C1A">
        <w:rPr>
          <w:rFonts w:cstheme="minorHAnsi"/>
          <w:color w:val="202124"/>
          <w:shd w:val="clear" w:color="auto" w:fill="FFFFFF"/>
        </w:rPr>
        <w:t>food, autonomously</w:t>
      </w:r>
      <w:r w:rsidR="005317A1">
        <w:rPr>
          <w:rFonts w:cstheme="minorHAnsi"/>
          <w:color w:val="202124"/>
          <w:shd w:val="clear" w:color="auto" w:fill="FFFFFF"/>
        </w:rPr>
        <w:t>,</w:t>
      </w:r>
      <w:r w:rsidR="005317A1" w:rsidRPr="008A1C1A">
        <w:rPr>
          <w:rFonts w:cstheme="minorHAnsi"/>
          <w:color w:val="202124"/>
          <w:shd w:val="clear" w:color="auto" w:fill="FFFFFF"/>
        </w:rPr>
        <w:t xml:space="preserve"> to their contentment or until they were full, without experiencing fatigue or using excessive energy</w:t>
      </w:r>
      <w:r w:rsidR="009401F7" w:rsidRPr="00A63AAD">
        <w:rPr>
          <w:rFonts w:cstheme="minorHAnsi"/>
        </w:rPr>
        <w:t xml:space="preserve">.  </w:t>
      </w:r>
      <w:r w:rsidR="00E0446D" w:rsidRPr="0039382D">
        <w:rPr>
          <w:rFonts w:cstheme="minorHAnsi"/>
          <w:color w:val="222222"/>
          <w:shd w:val="clear" w:color="auto" w:fill="FFFFFF"/>
        </w:rPr>
        <w:t xml:space="preserve">In such instances, </w:t>
      </w:r>
      <w:r w:rsidR="00E0446D">
        <w:rPr>
          <w:rFonts w:cstheme="minorHAnsi"/>
          <w:color w:val="222222"/>
          <w:shd w:val="clear" w:color="auto" w:fill="FFFFFF"/>
        </w:rPr>
        <w:t xml:space="preserve">my patient was able to control the coordinated actions of selecting food and water that has been served and bring it to their mouth in a culturally normal way. </w:t>
      </w:r>
      <w:r w:rsidR="00194D8E">
        <w:rPr>
          <w:rFonts w:cstheme="minorHAnsi"/>
        </w:rPr>
        <w:t>Therefore, Obi</w:t>
      </w:r>
      <w:r w:rsidR="0063255D" w:rsidRPr="008A1C1A">
        <w:rPr>
          <w:rFonts w:cstheme="minorHAnsi"/>
        </w:rPr>
        <w:t xml:space="preserve"> </w:t>
      </w:r>
      <w:r w:rsidR="00DD1060">
        <w:rPr>
          <w:rFonts w:cstheme="minorHAnsi"/>
        </w:rPr>
        <w:t>ha</w:t>
      </w:r>
      <w:r w:rsidR="00E0446D">
        <w:rPr>
          <w:rFonts w:cstheme="minorHAnsi"/>
        </w:rPr>
        <w:t>s been undeniably successful at</w:t>
      </w:r>
      <w:r w:rsidR="006700CA">
        <w:rPr>
          <w:rFonts w:cstheme="minorHAnsi"/>
        </w:rPr>
        <w:t xml:space="preserve"> alleviat</w:t>
      </w:r>
      <w:r w:rsidR="00E0446D">
        <w:rPr>
          <w:rFonts w:cstheme="minorHAnsi"/>
        </w:rPr>
        <w:t>ing</w:t>
      </w:r>
      <w:r w:rsidR="006700CA">
        <w:rPr>
          <w:rFonts w:cstheme="minorHAnsi"/>
        </w:rPr>
        <w:t xml:space="preserve"> </w:t>
      </w:r>
      <w:r w:rsidR="009A1B97" w:rsidRPr="008A1C1A">
        <w:rPr>
          <w:rFonts w:cstheme="minorHAnsi"/>
        </w:rPr>
        <w:t>the</w:t>
      </w:r>
      <w:r w:rsidR="00E0446D">
        <w:rPr>
          <w:rFonts w:cstheme="minorHAnsi"/>
        </w:rPr>
        <w:t>ir</w:t>
      </w:r>
      <w:r w:rsidR="009A1B97" w:rsidRPr="008A1C1A">
        <w:rPr>
          <w:rFonts w:cstheme="minorHAnsi"/>
        </w:rPr>
        <w:t xml:space="preserve"> eating disability </w:t>
      </w:r>
      <w:r w:rsidR="00AA6E61">
        <w:rPr>
          <w:rFonts w:cstheme="minorHAnsi"/>
        </w:rPr>
        <w:t>in accordance with</w:t>
      </w:r>
      <w:r w:rsidR="00E0446D">
        <w:rPr>
          <w:rFonts w:cstheme="minorHAnsi"/>
        </w:rPr>
        <w:t xml:space="preserve"> </w:t>
      </w:r>
      <w:r w:rsidR="00194D8E">
        <w:rPr>
          <w:rFonts w:cstheme="minorHAnsi"/>
        </w:rPr>
        <w:t>the ICF</w:t>
      </w:r>
      <w:r w:rsidR="00E23700">
        <w:rPr>
          <w:rFonts w:cstheme="minorHAnsi"/>
        </w:rPr>
        <w:t xml:space="preserve"> framework</w:t>
      </w:r>
      <w:r w:rsidR="00681912" w:rsidRPr="008A1C1A">
        <w:rPr>
          <w:rFonts w:cstheme="minorHAnsi"/>
        </w:rPr>
        <w:t xml:space="preserve">. </w:t>
      </w:r>
    </w:p>
    <w:p w14:paraId="26E6D5CC" w14:textId="472C04B7" w:rsidR="000B03FC" w:rsidRDefault="00000000" w:rsidP="000601E5">
      <w:pPr>
        <w:rPr>
          <w:rFonts w:cstheme="minorHAnsi"/>
        </w:rPr>
      </w:pPr>
      <w:sdt>
        <w:sdtPr>
          <w:rPr>
            <w:rFonts w:cstheme="minorHAnsi"/>
          </w:rPr>
          <w:id w:val="837969266"/>
          <w:placeholder>
            <w:docPart w:val="9BF3F5CF985F436DB652063D736E81E7"/>
          </w:placeholder>
          <w:showingPlcHdr/>
          <w:text/>
        </w:sdtPr>
        <w:sdtContent>
          <w:r w:rsidR="00E23700" w:rsidRPr="00473803">
            <w:rPr>
              <w:rFonts w:cstheme="minorHAnsi"/>
              <w:color w:val="00B0F0"/>
            </w:rPr>
            <w:t>[</w:t>
          </w:r>
          <w:r w:rsidR="00AF19F8">
            <w:rPr>
              <w:rFonts w:cstheme="minorHAnsi"/>
              <w:color w:val="00B0F0"/>
            </w:rPr>
            <w:t>INSERT</w:t>
          </w:r>
          <w:r w:rsidR="00AF19F8" w:rsidRPr="00AF19F8">
            <w:rPr>
              <w:rFonts w:cstheme="minorHAnsi"/>
              <w:color w:val="00B0F0"/>
            </w:rPr>
            <w:t xml:space="preserve"> </w:t>
          </w:r>
          <w:r w:rsidR="00AF19F8">
            <w:rPr>
              <w:rFonts w:cstheme="minorHAnsi"/>
              <w:color w:val="00B0F0"/>
            </w:rPr>
            <w:t xml:space="preserve">ANY </w:t>
          </w:r>
          <w:r w:rsidR="00AF19F8" w:rsidRPr="00AF19F8">
            <w:rPr>
              <w:rFonts w:cstheme="minorHAnsi"/>
              <w:color w:val="00B0F0"/>
            </w:rPr>
            <w:t xml:space="preserve">OBSERVED </w:t>
          </w:r>
          <w:r w:rsidR="00AF19F8">
            <w:rPr>
              <w:rFonts w:cstheme="minorHAnsi"/>
              <w:color w:val="00B0F0"/>
            </w:rPr>
            <w:t>OR</w:t>
          </w:r>
          <w:r w:rsidR="00AF19F8" w:rsidRPr="00AF19F8">
            <w:rPr>
              <w:rFonts w:cstheme="minorHAnsi"/>
              <w:color w:val="00B0F0"/>
            </w:rPr>
            <w:t xml:space="preserve"> DOCUMENTED DECREASE IN SEVERITY OF SYMPTOMS OR RISK FACTORS</w:t>
          </w:r>
          <w:r w:rsidR="00E23700">
            <w:rPr>
              <w:rFonts w:cstheme="minorHAnsi"/>
              <w:color w:val="00B0F0"/>
            </w:rPr>
            <w:t>]</w:t>
          </w:r>
        </w:sdtContent>
      </w:sdt>
      <w:r w:rsidR="007836AA">
        <w:rPr>
          <w:rFonts w:cstheme="minorHAnsi"/>
        </w:rPr>
        <w:t xml:space="preserve">. </w:t>
      </w:r>
    </w:p>
    <w:p w14:paraId="4E7D799E" w14:textId="3F1C9C3F" w:rsidR="004749F6" w:rsidRPr="00AF1A96" w:rsidRDefault="00DD1060" w:rsidP="000601E5">
      <w:pPr>
        <w:rPr>
          <w:rFonts w:cstheme="minorHAnsi"/>
          <w:color w:val="222222"/>
          <w:shd w:val="clear" w:color="auto" w:fill="FFFFFF"/>
        </w:rPr>
      </w:pPr>
      <w:r w:rsidRPr="00AF1A96">
        <w:rPr>
          <w:rFonts w:cstheme="minorHAnsi"/>
          <w:color w:val="222222"/>
          <w:shd w:val="clear" w:color="auto" w:fill="FFFFFF"/>
        </w:rPr>
        <w:t>As was dem</w:t>
      </w:r>
      <w:r w:rsidR="0020630E" w:rsidRPr="00AF1A96">
        <w:rPr>
          <w:rFonts w:cstheme="minorHAnsi"/>
          <w:color w:val="222222"/>
          <w:shd w:val="clear" w:color="auto" w:fill="FFFFFF"/>
        </w:rPr>
        <w:t>onstrated</w:t>
      </w:r>
      <w:r w:rsidRPr="00AF1A96">
        <w:rPr>
          <w:rFonts w:cstheme="minorHAnsi"/>
          <w:color w:val="222222"/>
          <w:shd w:val="clear" w:color="auto" w:fill="FFFFFF"/>
        </w:rPr>
        <w:t xml:space="preserve">, </w:t>
      </w:r>
      <w:r w:rsidR="006700CA" w:rsidRPr="00AF1A96">
        <w:rPr>
          <w:rFonts w:cstheme="minorHAnsi"/>
          <w:color w:val="222222"/>
          <w:shd w:val="clear" w:color="auto" w:fill="FFFFFF"/>
        </w:rPr>
        <w:t>Obi provides</w:t>
      </w:r>
      <w:r w:rsidRPr="00AF1A96">
        <w:rPr>
          <w:rFonts w:cstheme="minorHAnsi"/>
          <w:color w:val="222222"/>
          <w:shd w:val="clear" w:color="auto" w:fill="FFFFFF"/>
        </w:rPr>
        <w:t xml:space="preserve"> </w:t>
      </w:r>
      <w:r w:rsidR="006700CA" w:rsidRPr="00AF1A96">
        <w:rPr>
          <w:rFonts w:cstheme="minorHAnsi"/>
          <w:color w:val="222222"/>
          <w:shd w:val="clear" w:color="auto" w:fill="FFFFFF"/>
        </w:rPr>
        <w:t>my patient</w:t>
      </w:r>
      <w:r w:rsidRPr="00AF1A96">
        <w:rPr>
          <w:rFonts w:cstheme="minorHAnsi"/>
          <w:color w:val="222222"/>
          <w:shd w:val="clear" w:color="auto" w:fill="FFFFFF"/>
        </w:rPr>
        <w:t xml:space="preserve"> independence during mealtimes, which fosters psychosocial wellbeing, a critical determinant of health for individuals </w:t>
      </w:r>
      <w:r w:rsidR="006700CA" w:rsidRPr="00AF1A96">
        <w:rPr>
          <w:rFonts w:cstheme="minorHAnsi"/>
          <w:color w:val="222222"/>
          <w:shd w:val="clear" w:color="auto" w:fill="FFFFFF"/>
        </w:rPr>
        <w:t>with severe UEMI</w:t>
      </w:r>
      <w:r w:rsidR="00E34D74">
        <w:rPr>
          <w:rFonts w:cstheme="minorHAnsi"/>
          <w:color w:val="222222"/>
          <w:shd w:val="clear" w:color="auto" w:fill="FFFFFF"/>
        </w:rPr>
        <w:t xml:space="preserve"> </w:t>
      </w:r>
      <w:r w:rsidR="00E34D74">
        <w:rPr>
          <w:rFonts w:cstheme="minorHAnsi"/>
          <w:color w:val="222222"/>
          <w:shd w:val="clear" w:color="auto" w:fill="FFFFFF"/>
        </w:rPr>
        <w:fldChar w:fldCharType="begin"/>
      </w:r>
      <w:r w:rsidR="00263A23">
        <w:rPr>
          <w:rFonts w:cstheme="minorHAnsi"/>
          <w:color w:val="222222"/>
          <w:shd w:val="clear" w:color="auto" w:fill="FFFFFF"/>
        </w:rPr>
        <w:instrText xml:space="preserve"> ADDIN ZOTERO_ITEM CSL_CITATION {"citationID":"t4DmLefM","properties":{"formattedCitation":"[25]","plainCitation":"[25]","noteIndex":0},"citationItems":[{"id":311,"uris":["http://zotero.org/users/13970490/items/4ARN4L4U"],"itemData":{"id":311,"type":"article-journal","abstract":"Background: Arthrogryposis multiplex congenita (AMC) is a group of congenital conditions characterized by joint contractures in two or more body areas. Management of AMC starts early in life and focuses on improving mobility and function through intensive rehabilitation and surgical interventions. Psychosocial wellbeing is an important determinant of health and the psychosocial experience of individuals with AMC should be considered in the management of this condition. The aim of this scoping review was to explore what is known about the psychosocial wellbeing of children and adults with AMC, to identify the outcome measures used and to explore the factors associated with psychosocial outcomes in this population.\nMethods: A comprehensive search in four databases was conducted. Articles discussing psychosocial outcomes and outcome measures used with children or adults with AMC were included. Data on the measures used, psychosocial outcomes, and factors associated with psychosocial outcomes, were extracted and analyzed descriptively and synthesized narratively.\nResults: Seventeen articles were included in this scoping review, ten including the pediatric population, six including adults and one article including both children and adults with AMC. The most commonly used outcome measures were the PODCI in the pediatric studies, and the SF-36 in studies on adults. In the pediatric studies, psychosocial outcomes were often secondary, compared to the studies on adults. Results showed that in both children and adults, psychosocial outcomes are comparable with the levels of the general population. Qualitative studies reflected the affective needs of this population and issues with emotional wellbeing. Factors such as fatigue and pain were associated with poorer psychosocial outcomes in adults with an impact on social relationships, intimacy and family planning.\nConclusion: Validated outcome measures, qualitative approaches and longitudinal studies are needed to better understand the psychosocial outcomes in AMC over time. Psychosocial support should be part of the multidisciplinary management of AMC throughout the lifespan.\nKeywords: Arthrogryposis multiplex congenita; Outcome measures; Psychosocial wellbeing; Quality","container-title":"Health and Quality of Life Outcomes","DOI":"10.1186/s12955-021-01896-5","issue":"1","page":"263","title":"Psychosocial wellbeing among children and adults with arthrogryposis: a scoping review","volume":"19","author":[{"family":"Cachecho","given":"Sarah"},{"family":"Boruff","given":"Jill"},{"family":"Wong","given":"Trudy"},{"family":"Lacombe","given":"Francis"},{"family":"Dahan-Oliel","given":"Noemi"}],"issued":{"date-parts":[["2021"]]}}}],"schema":"https://github.com/citation-style-language/schema/raw/master/csl-citation.json"} </w:instrText>
      </w:r>
      <w:r w:rsidR="00E34D74">
        <w:rPr>
          <w:rFonts w:cstheme="minorHAnsi"/>
          <w:color w:val="222222"/>
          <w:shd w:val="clear" w:color="auto" w:fill="FFFFFF"/>
        </w:rPr>
        <w:fldChar w:fldCharType="separate"/>
      </w:r>
      <w:r w:rsidR="00263A23" w:rsidRPr="00263A23">
        <w:rPr>
          <w:rFonts w:ascii="Calibri" w:hAnsi="Calibri" w:cs="Calibri"/>
        </w:rPr>
        <w:t>[25]</w:t>
      </w:r>
      <w:r w:rsidR="00E34D74">
        <w:rPr>
          <w:rFonts w:cstheme="minorHAnsi"/>
          <w:color w:val="222222"/>
          <w:shd w:val="clear" w:color="auto" w:fill="FFFFFF"/>
        </w:rPr>
        <w:fldChar w:fldCharType="end"/>
      </w:r>
      <w:r w:rsidRPr="00AF1A96">
        <w:rPr>
          <w:rFonts w:cstheme="minorHAnsi"/>
          <w:color w:val="222222"/>
          <w:shd w:val="clear" w:color="auto" w:fill="FFFFFF"/>
        </w:rPr>
        <w:t xml:space="preserve">. </w:t>
      </w:r>
      <w:r w:rsidR="00E30FF7">
        <w:rPr>
          <w:rFonts w:cstheme="minorHAnsi"/>
          <w:color w:val="222222"/>
          <w:shd w:val="clear" w:color="auto" w:fill="FFFFFF"/>
        </w:rPr>
        <w:t>A 2025 study suggests Obi is</w:t>
      </w:r>
      <w:r w:rsidR="00E30FF7" w:rsidRPr="00E30FF7">
        <w:rPr>
          <w:rFonts w:cstheme="minorHAnsi"/>
          <w:color w:val="222222"/>
          <w:shd w:val="clear" w:color="auto" w:fill="FFFFFF"/>
        </w:rPr>
        <w:t xml:space="preserve"> vital for promoting inclusion and independence in individuals with disabilities, fostering better mental health outcome</w:t>
      </w:r>
      <w:r w:rsidR="00D63A15">
        <w:rPr>
          <w:rFonts w:cstheme="minorHAnsi"/>
          <w:color w:val="222222"/>
          <w:shd w:val="clear" w:color="auto" w:fill="FFFFFF"/>
        </w:rPr>
        <w:t xml:space="preserve">s </w:t>
      </w:r>
      <w:r w:rsidR="00D63A15">
        <w:rPr>
          <w:rFonts w:cstheme="minorHAnsi"/>
          <w:color w:val="222222"/>
          <w:shd w:val="clear" w:color="auto" w:fill="FFFFFF"/>
        </w:rPr>
        <w:fldChar w:fldCharType="begin"/>
      </w:r>
      <w:r w:rsidR="00ED09D3">
        <w:rPr>
          <w:rFonts w:cstheme="minorHAnsi"/>
          <w:color w:val="222222"/>
          <w:shd w:val="clear" w:color="auto" w:fill="FFFFFF"/>
        </w:rPr>
        <w:instrText xml:space="preserve"> ADDIN ZOTERO_ITEM CSL_CITATION {"citationID":"Q6FPtWFF","properties":{"formattedCitation":"[1]","plainCitation":"[1]","noteIndex":0},"citationItems":[{"id":1342,"uris":["http://zotero.org/groups/5496641/items/HZBC5L6G"],"itemData":{"id":1342,"type":"article-journal","container-title":"Assistive Technology Outcomes and Benefits (ATOB)","title":"The Use of Obi Robot for Self-Feeding with Individuals with Upper Extremity Limitations.","volume":"19","author":[{"family":"Burgos","given":"B.B."}],"issued":{"date-parts":[["2025"]]}}}],"schema":"https://github.com/citation-style-language/schema/raw/master/csl-citation.json"} </w:instrText>
      </w:r>
      <w:r w:rsidR="00D63A15">
        <w:rPr>
          <w:rFonts w:cstheme="minorHAnsi"/>
          <w:color w:val="222222"/>
          <w:shd w:val="clear" w:color="auto" w:fill="FFFFFF"/>
        </w:rPr>
        <w:fldChar w:fldCharType="separate"/>
      </w:r>
      <w:r w:rsidR="00ED09D3" w:rsidRPr="00ED09D3">
        <w:rPr>
          <w:rFonts w:ascii="Calibri" w:hAnsi="Calibri" w:cs="Calibri"/>
        </w:rPr>
        <w:t>[1]</w:t>
      </w:r>
      <w:r w:rsidR="00D63A15">
        <w:rPr>
          <w:rFonts w:cstheme="minorHAnsi"/>
          <w:color w:val="222222"/>
          <w:shd w:val="clear" w:color="auto" w:fill="FFFFFF"/>
        </w:rPr>
        <w:fldChar w:fldCharType="end"/>
      </w:r>
      <w:r w:rsidR="00E30FF7">
        <w:rPr>
          <w:rFonts w:cstheme="minorHAnsi"/>
          <w:color w:val="222222"/>
          <w:shd w:val="clear" w:color="auto" w:fill="FFFFFF"/>
        </w:rPr>
        <w:t>.</w:t>
      </w:r>
      <w:r w:rsidR="00E30FF7" w:rsidRPr="00AF1A96">
        <w:rPr>
          <w:rFonts w:cstheme="minorHAnsi"/>
          <w:color w:val="222222"/>
          <w:shd w:val="clear" w:color="auto" w:fill="FFFFFF"/>
        </w:rPr>
        <w:t xml:space="preserve"> </w:t>
      </w:r>
      <w:r w:rsidR="0020630E" w:rsidRPr="00AF1A96">
        <w:rPr>
          <w:rFonts w:cstheme="minorHAnsi"/>
          <w:color w:val="222222"/>
          <w:shd w:val="clear" w:color="auto" w:fill="FFFFFF"/>
        </w:rPr>
        <w:t>B</w:t>
      </w:r>
      <w:r w:rsidR="004749F6" w:rsidRPr="00AF1A96">
        <w:rPr>
          <w:rFonts w:cstheme="minorHAnsi"/>
          <w:color w:val="222222"/>
          <w:shd w:val="clear" w:color="auto" w:fill="FFFFFF"/>
        </w:rPr>
        <w:t xml:space="preserve">y providing my </w:t>
      </w:r>
      <w:r w:rsidR="0020630E" w:rsidRPr="00AF1A96">
        <w:rPr>
          <w:rFonts w:cstheme="minorHAnsi"/>
          <w:color w:val="222222"/>
          <w:shd w:val="clear" w:color="auto" w:fill="FFFFFF"/>
        </w:rPr>
        <w:t>patient with</w:t>
      </w:r>
      <w:r w:rsidR="004749F6" w:rsidRPr="00AF1A96">
        <w:rPr>
          <w:rFonts w:cstheme="minorHAnsi"/>
          <w:color w:val="222222"/>
          <w:shd w:val="clear" w:color="auto" w:fill="FFFFFF"/>
        </w:rPr>
        <w:t xml:space="preserve"> the control to select </w:t>
      </w:r>
      <w:r w:rsidR="0020630E" w:rsidRPr="00AF1A96">
        <w:rPr>
          <w:rFonts w:cstheme="minorHAnsi"/>
          <w:color w:val="222222"/>
          <w:shd w:val="clear" w:color="auto" w:fill="FFFFFF"/>
        </w:rPr>
        <w:t xml:space="preserve">and deliver </w:t>
      </w:r>
      <w:r w:rsidR="004749F6" w:rsidRPr="00AF1A96">
        <w:rPr>
          <w:rFonts w:cstheme="minorHAnsi"/>
          <w:color w:val="222222"/>
          <w:shd w:val="clear" w:color="auto" w:fill="FFFFFF"/>
        </w:rPr>
        <w:t>their food,</w:t>
      </w:r>
      <w:r w:rsidR="00864A6A" w:rsidRPr="00AF1A96">
        <w:rPr>
          <w:rFonts w:cstheme="minorHAnsi"/>
          <w:color w:val="222222"/>
          <w:shd w:val="clear" w:color="auto" w:fill="FFFFFF"/>
        </w:rPr>
        <w:t xml:space="preserve"> </w:t>
      </w:r>
      <w:r w:rsidR="004749F6" w:rsidRPr="00AF1A96">
        <w:rPr>
          <w:rFonts w:cstheme="minorHAnsi"/>
          <w:color w:val="222222"/>
          <w:shd w:val="clear" w:color="auto" w:fill="FFFFFF"/>
        </w:rPr>
        <w:t>satisfaction</w:t>
      </w:r>
      <w:r w:rsidR="00F736D7" w:rsidRPr="00AF1A96">
        <w:rPr>
          <w:rFonts w:cstheme="minorHAnsi"/>
          <w:color w:val="222222"/>
          <w:shd w:val="clear" w:color="auto" w:fill="FFFFFF"/>
        </w:rPr>
        <w:t xml:space="preserve"> and </w:t>
      </w:r>
      <w:r w:rsidR="0020630E" w:rsidRPr="00AF1A96">
        <w:rPr>
          <w:rFonts w:cstheme="minorHAnsi"/>
          <w:color w:val="222222"/>
          <w:shd w:val="clear" w:color="auto" w:fill="FFFFFF"/>
        </w:rPr>
        <w:t>long term restored functional eating</w:t>
      </w:r>
      <w:r w:rsidR="00864A6A" w:rsidRPr="00AF1A96">
        <w:rPr>
          <w:rFonts w:cstheme="minorHAnsi"/>
          <w:color w:val="222222"/>
          <w:shd w:val="clear" w:color="auto" w:fill="FFFFFF"/>
        </w:rPr>
        <w:t xml:space="preserve"> are more likely</w:t>
      </w:r>
      <w:r w:rsidR="004749F6" w:rsidRPr="00AF1A96">
        <w:rPr>
          <w:rFonts w:cstheme="minorHAnsi"/>
          <w:color w:val="222222"/>
          <w:shd w:val="clear" w:color="auto" w:fill="FFFFFF"/>
        </w:rPr>
        <w:t xml:space="preserve">. </w:t>
      </w:r>
      <w:r w:rsidR="00E30FF7" w:rsidRPr="00AF1A96">
        <w:rPr>
          <w:rFonts w:cstheme="minorHAnsi"/>
          <w:color w:val="222222"/>
          <w:shd w:val="clear" w:color="auto" w:fill="FFFFFF"/>
        </w:rPr>
        <w:t xml:space="preserve">Studies have also shown that having access to food choices is reflected through stimulus reward values in brain activity </w:t>
      </w:r>
      <w:r w:rsidR="00E34D74">
        <w:rPr>
          <w:rFonts w:cstheme="minorHAnsi"/>
          <w:color w:val="222222"/>
          <w:shd w:val="clear" w:color="auto" w:fill="FFFFFF"/>
        </w:rPr>
        <w:fldChar w:fldCharType="begin"/>
      </w:r>
      <w:r w:rsidR="00263A23">
        <w:rPr>
          <w:rFonts w:cstheme="minorHAnsi"/>
          <w:color w:val="222222"/>
          <w:shd w:val="clear" w:color="auto" w:fill="FFFFFF"/>
        </w:rPr>
        <w:instrText xml:space="preserve"> ADDIN ZOTERO_ITEM CSL_CITATION {"citationID":"kA8HLMNR","properties":{"formattedCitation":"[26]","plainCitation":"[26]","noteIndex":0},"citationItems":[{"id":310,"uris":["http://zotero.org/users/13970490/items/4QW5ATZM"],"itemData":{"id":310,"type":"article-journal","abstract":"&lt;p&gt;The brain governs food intake behaviour by integrating many different internal and external state and trait-related signals. Understanding how the decisions to start and to stop eating are made is crucial to our understanding of (maladaptive patterns of) eating behaviour. Here, we aim to (1) review the current state of the field of ‘nutritional neuroscience’ with a focus on the interplay between food-induced brain responses and eating behaviour and (2) highlight research needs and techniques that could be used to address these. The brain responses associated with sensory stimulation (sight, olfaction and taste), gastric distension, gut hormone administration and food consumption are the subject of increasing investigation. Nevertheless, only few studies have examined relations between brain responses and eating behaviour. However, the neural circuits underlying eating behaviour are to a large extent generic, including reward, self-control, learning and decision-making circuitry. These limbic and prefrontal circuits interact with the hypothalamus, a key homeostatic area. Target areas for further elucidating the regulation of food intake are: (eating) habit and food preference formation and modification, the neural correlates of self-control, nutrient sensing and dietary learning, and the regulation of body adiposity. Moreover, to foster significant progress, data from multiple studies need to be integrated. This requires standardisation of (neuroimaging) measures, data sharing and the application and development of existing advanced analysis and modelling techniques to nutritional neuroscience data. In the next 20 years, nutritional neuroscience will have to prove its potential for providing insights that can be used to tackle detrimental eating behaviour.&lt;/p&gt;","container-title":"Proceedings of the Nutrition Society","DOI":"10.1017/S0029665112000808","issue":"4","page":"511-520","title":"Food-induced brain responses and eating behaviour","volume":"71","author":[{"family":"Smeets","given":"Paul A. M."},{"family":"Charbonnier","given":"Lisette"},{"family":"Meer","given":"Floor","non-dropping-particle":"van"},{"family":"Laan","given":"Laura N.","non-dropping-particle":"van der"},{"family":"Spetter","given":"Maartje S."}],"issued":{"date-parts":[["2012"]]}}}],"schema":"https://github.com/citation-style-language/schema/raw/master/csl-citation.json"} </w:instrText>
      </w:r>
      <w:r w:rsidR="00E34D74">
        <w:rPr>
          <w:rFonts w:cstheme="minorHAnsi"/>
          <w:color w:val="222222"/>
          <w:shd w:val="clear" w:color="auto" w:fill="FFFFFF"/>
        </w:rPr>
        <w:fldChar w:fldCharType="separate"/>
      </w:r>
      <w:r w:rsidR="00263A23" w:rsidRPr="00263A23">
        <w:rPr>
          <w:rFonts w:ascii="Calibri" w:hAnsi="Calibri" w:cs="Calibri"/>
        </w:rPr>
        <w:t>[26]</w:t>
      </w:r>
      <w:r w:rsidR="00E34D74">
        <w:rPr>
          <w:rFonts w:cstheme="minorHAnsi"/>
          <w:color w:val="222222"/>
          <w:shd w:val="clear" w:color="auto" w:fill="FFFFFF"/>
        </w:rPr>
        <w:fldChar w:fldCharType="end"/>
      </w:r>
      <w:r w:rsidR="00E30FF7" w:rsidRPr="00AF1A96">
        <w:rPr>
          <w:rFonts w:cstheme="minorHAnsi"/>
          <w:color w:val="222222"/>
          <w:shd w:val="clear" w:color="auto" w:fill="FFFFFF"/>
        </w:rPr>
        <w:t xml:space="preserve">. </w:t>
      </w:r>
      <w:r w:rsidR="004749F6" w:rsidRPr="00AF1A96">
        <w:rPr>
          <w:rFonts w:cstheme="minorHAnsi"/>
          <w:color w:val="222222"/>
          <w:shd w:val="clear" w:color="auto" w:fill="FFFFFF"/>
        </w:rPr>
        <w:t>For these reasons</w:t>
      </w:r>
      <w:r w:rsidRPr="00AF1A96">
        <w:rPr>
          <w:rFonts w:cstheme="minorHAnsi"/>
          <w:color w:val="222222"/>
          <w:shd w:val="clear" w:color="auto" w:fill="FFFFFF"/>
        </w:rPr>
        <w:t xml:space="preserve">, psychosocial experiences must be considered in managing </w:t>
      </w:r>
      <w:r w:rsidR="006700CA" w:rsidRPr="00AF1A96">
        <w:rPr>
          <w:rFonts w:cstheme="minorHAnsi"/>
          <w:color w:val="222222"/>
          <w:shd w:val="clear" w:color="auto" w:fill="FFFFFF"/>
        </w:rPr>
        <w:t>my patient’s</w:t>
      </w:r>
      <w:r w:rsidRPr="00AF1A96">
        <w:rPr>
          <w:rFonts w:cstheme="minorHAnsi"/>
          <w:color w:val="222222"/>
          <w:shd w:val="clear" w:color="auto" w:fill="FFFFFF"/>
        </w:rPr>
        <w:t xml:space="preserve"> condition. </w:t>
      </w:r>
    </w:p>
    <w:p w14:paraId="47A87344" w14:textId="23F78FD7" w:rsidR="0020630E" w:rsidRPr="00756F13" w:rsidRDefault="00756F13" w:rsidP="0020630E">
      <w:pPr>
        <w:rPr>
          <w:rFonts w:cstheme="minorHAnsi"/>
          <w:color w:val="222222"/>
          <w:shd w:val="clear" w:color="auto" w:fill="FFFFFF"/>
        </w:rPr>
      </w:pPr>
      <w:r>
        <w:rPr>
          <w:rFonts w:cstheme="minorHAnsi"/>
          <w:color w:val="222222"/>
          <w:shd w:val="clear" w:color="auto" w:fill="FFFFFF"/>
        </w:rPr>
        <w:t>The literature also reports that s</w:t>
      </w:r>
      <w:r w:rsidRPr="00AF1A96">
        <w:rPr>
          <w:rFonts w:cstheme="minorHAnsi"/>
          <w:color w:val="222222"/>
          <w:shd w:val="clear" w:color="auto" w:fill="FFFFFF"/>
        </w:rPr>
        <w:t xml:space="preserve">ocial participation is crucial in humans to maintain physical, mental, and social well-being </w:t>
      </w:r>
      <w:r>
        <w:rPr>
          <w:rFonts w:cstheme="minorHAnsi"/>
          <w:color w:val="222222"/>
          <w:shd w:val="clear" w:color="auto" w:fill="FFFFFF"/>
        </w:rPr>
        <w:fldChar w:fldCharType="begin"/>
      </w:r>
      <w:r w:rsidR="00263A23">
        <w:rPr>
          <w:rFonts w:cstheme="minorHAnsi"/>
          <w:color w:val="222222"/>
          <w:shd w:val="clear" w:color="auto" w:fill="FFFFFF"/>
        </w:rPr>
        <w:instrText xml:space="preserve"> ADDIN ZOTERO_ITEM CSL_CITATION {"citationID":"qCnfMl8v","properties":{"formattedCitation":"[27]","plainCitation":"[27]","noteIndex":0},"citationItems":[{"id":175,"uris":["http://zotero.org/users/13970490/items/GFW2THTJ"],"itemData":{"id":175,"type":"article-journal","abstract":"Stroke survivors often experience social isolation. Social interaction improves quality of life and decreases mortality after stroke. Male mice (20–25 g; C57BL/6N), all initially pair housed, were subjected to middle cerebral artery occlusion (MCAO). Mice were subsequently assigned into one of three housing conditions: (1) Isolated (SI); (2) Paired with their original cage mate who was also subjected to stroke (stroke partner (PH-SP)); or (3) Paired with their original cage mate who underwent sham surgery (healthy partner (PH-HP)). Infarct analysis was performed 72 h after stroke and chronic survival was assessed at day 30. Immediate post-stroke isolation led to a significant increase in infarct size and mortality. Interestingly, mice paired with a healthy partner had significantly lower mortality than mice paired with a stroke partner, despite equivalent infarct damage. To control for changes in infarct size induced by immediate post-stroke isolation, additional cohorts were assessed that remained pair housed for three days after stroke prior to randomization. Levels of brain-derived neurotrophic factor (BDNF) were assessed at 90 days and cell proliferation (in cohorts injected with 5-bromo-2′-deoxyuridine, BrdU) was evaluated at 8 and 90 days after stroke. All mice in the delayed housing protocol had equivalent infarct volumes (SI, PH-HP and PH-SP). Mice paired with a healthy partner showed enhanced behavioral recovery compared with either isolated mice or mice paired with a stroke partner. Behavioral improvements paralleled changes in BDNF levels and neurogenesis. These findings suggest that the social environment has an important role in recovery after ischemic brain injury.","container-title":"Translational Psychiatry","DOI":"10.1038/tp.2013.128","issue":"1","page":"e351-e351","title":"Social interaction plays a critical role in neurogenesis and recovery after stroke","volume":"4","author":[{"family":"Venna","given":"V. R."},{"family":"Xu","given":"Y."},{"family":"Doran","given":"S. J."},{"family":"Patrizz","given":"A."},{"family":"McCullough","given":"L. D."}],"issued":{"date-parts":[["2014"]]}}}],"schema":"https://github.com/citation-style-language/schema/raw/master/csl-citation.json"} </w:instrText>
      </w:r>
      <w:r>
        <w:rPr>
          <w:rFonts w:cstheme="minorHAnsi"/>
          <w:color w:val="222222"/>
          <w:shd w:val="clear" w:color="auto" w:fill="FFFFFF"/>
        </w:rPr>
        <w:fldChar w:fldCharType="separate"/>
      </w:r>
      <w:r w:rsidR="00263A23" w:rsidRPr="00263A23">
        <w:rPr>
          <w:rFonts w:ascii="Calibri" w:hAnsi="Calibri" w:cs="Calibri"/>
        </w:rPr>
        <w:t>[27]</w:t>
      </w:r>
      <w:r>
        <w:rPr>
          <w:rFonts w:cstheme="minorHAnsi"/>
          <w:color w:val="222222"/>
          <w:shd w:val="clear" w:color="auto" w:fill="FFFFFF"/>
        </w:rPr>
        <w:fldChar w:fldCharType="end"/>
      </w:r>
      <w:r w:rsidRPr="00AF1A96">
        <w:rPr>
          <w:rFonts w:cstheme="minorHAnsi"/>
          <w:color w:val="222222"/>
          <w:shd w:val="clear" w:color="auto" w:fill="FFFFFF"/>
        </w:rPr>
        <w:t xml:space="preserve">. </w:t>
      </w:r>
      <w:r w:rsidR="0020630E" w:rsidRPr="00AF1A96">
        <w:rPr>
          <w:rFonts w:cstheme="minorHAnsi"/>
          <w:color w:val="222222"/>
          <w:shd w:val="clear" w:color="auto" w:fill="FFFFFF"/>
        </w:rPr>
        <w:t>Due to</w:t>
      </w:r>
      <w:r w:rsidR="00864A6A" w:rsidRPr="00AF1A96">
        <w:rPr>
          <w:rFonts w:cstheme="minorHAnsi"/>
          <w:color w:val="222222"/>
          <w:shd w:val="clear" w:color="auto" w:fill="FFFFFF"/>
        </w:rPr>
        <w:t xml:space="preserve"> the </w:t>
      </w:r>
      <w:r>
        <w:rPr>
          <w:rFonts w:cstheme="minorHAnsi"/>
          <w:color w:val="222222"/>
          <w:shd w:val="clear" w:color="auto" w:fill="FFFFFF"/>
        </w:rPr>
        <w:t>award-winning</w:t>
      </w:r>
      <w:r w:rsidR="002F7BE8">
        <w:rPr>
          <w:rFonts w:cstheme="minorHAnsi"/>
          <w:color w:val="222222"/>
          <w:shd w:val="clear" w:color="auto" w:fill="FFFFFF"/>
        </w:rPr>
        <w:t xml:space="preserve"> </w:t>
      </w:r>
      <w:r w:rsidR="00864A6A" w:rsidRPr="00AF1A96">
        <w:rPr>
          <w:rFonts w:cstheme="minorHAnsi"/>
          <w:color w:val="222222"/>
          <w:shd w:val="clear" w:color="auto" w:fill="FFFFFF"/>
        </w:rPr>
        <w:t>design of Obi</w:t>
      </w:r>
      <w:r w:rsidR="0020630E" w:rsidRPr="00AF1A96">
        <w:rPr>
          <w:rFonts w:cstheme="minorHAnsi"/>
          <w:color w:val="222222"/>
          <w:shd w:val="clear" w:color="auto" w:fill="FFFFFF"/>
        </w:rPr>
        <w:t xml:space="preserve">, </w:t>
      </w:r>
      <w:r w:rsidR="00764F15" w:rsidRPr="00AF1A96">
        <w:rPr>
          <w:rFonts w:cstheme="minorHAnsi"/>
          <w:color w:val="222222"/>
          <w:shd w:val="clear" w:color="auto" w:fill="FFFFFF"/>
        </w:rPr>
        <w:t>my patient</w:t>
      </w:r>
      <w:r w:rsidR="00DD1060" w:rsidRPr="00AF1A96">
        <w:rPr>
          <w:rFonts w:cstheme="minorHAnsi"/>
          <w:color w:val="222222"/>
          <w:shd w:val="clear" w:color="auto" w:fill="FFFFFF"/>
        </w:rPr>
        <w:t xml:space="preserve"> </w:t>
      </w:r>
      <w:r w:rsidR="00864A6A" w:rsidRPr="00AF1A96">
        <w:rPr>
          <w:rFonts w:cstheme="minorHAnsi"/>
          <w:color w:val="222222"/>
          <w:shd w:val="clear" w:color="auto" w:fill="FFFFFF"/>
        </w:rPr>
        <w:t xml:space="preserve">has </w:t>
      </w:r>
      <w:r w:rsidR="00DD1060" w:rsidRPr="00AF1A96">
        <w:rPr>
          <w:rFonts w:cstheme="minorHAnsi"/>
          <w:color w:val="222222"/>
          <w:shd w:val="clear" w:color="auto" w:fill="FFFFFF"/>
        </w:rPr>
        <w:t>the opportunity for improved social participation</w:t>
      </w:r>
      <w:r w:rsidR="006700CA" w:rsidRPr="00AF1A96">
        <w:rPr>
          <w:rFonts w:cstheme="minorHAnsi"/>
          <w:color w:val="222222"/>
          <w:shd w:val="clear" w:color="auto" w:fill="FFFFFF"/>
        </w:rPr>
        <w:t xml:space="preserve"> in critical </w:t>
      </w:r>
      <w:r w:rsidR="002F7BE8">
        <w:rPr>
          <w:rFonts w:cstheme="minorHAnsi"/>
          <w:color w:val="222222"/>
          <w:shd w:val="clear" w:color="auto" w:fill="FFFFFF"/>
        </w:rPr>
        <w:t>occupational</w:t>
      </w:r>
      <w:r w:rsidR="006700CA" w:rsidRPr="00AF1A96">
        <w:rPr>
          <w:rFonts w:cstheme="minorHAnsi"/>
          <w:color w:val="222222"/>
          <w:shd w:val="clear" w:color="auto" w:fill="FFFFFF"/>
        </w:rPr>
        <w:t xml:space="preserve"> and peer-related events that involve food</w:t>
      </w:r>
      <w:r w:rsidR="00864A6A" w:rsidRPr="00AF1A96">
        <w:rPr>
          <w:rFonts w:cstheme="minorHAnsi"/>
          <w:color w:val="222222"/>
          <w:shd w:val="clear" w:color="auto" w:fill="FFFFFF"/>
        </w:rPr>
        <w:t xml:space="preserve"> regardless of the environment (home, school, </w:t>
      </w:r>
      <w:r>
        <w:rPr>
          <w:rFonts w:cstheme="minorHAnsi"/>
          <w:color w:val="222222"/>
          <w:shd w:val="clear" w:color="auto" w:fill="FFFFFF"/>
        </w:rPr>
        <w:t xml:space="preserve">work, </w:t>
      </w:r>
      <w:r w:rsidR="00864A6A" w:rsidRPr="00AF1A96">
        <w:rPr>
          <w:rFonts w:cstheme="minorHAnsi"/>
          <w:color w:val="222222"/>
          <w:shd w:val="clear" w:color="auto" w:fill="FFFFFF"/>
        </w:rPr>
        <w:t>community)</w:t>
      </w:r>
      <w:r w:rsidR="006700CA" w:rsidRPr="00AF1A96">
        <w:rPr>
          <w:rFonts w:cstheme="minorHAnsi"/>
          <w:color w:val="222222"/>
          <w:shd w:val="clear" w:color="auto" w:fill="FFFFFF"/>
        </w:rPr>
        <w:t xml:space="preserve">. </w:t>
      </w:r>
      <w:r w:rsidR="00F736D7" w:rsidRPr="00AF1A96">
        <w:rPr>
          <w:rFonts w:cstheme="minorHAnsi"/>
          <w:color w:val="222222"/>
          <w:shd w:val="clear" w:color="auto" w:fill="FFFFFF"/>
        </w:rPr>
        <w:t xml:space="preserve"> </w:t>
      </w:r>
      <w:r w:rsidR="0020630E" w:rsidRPr="00AF1A96">
        <w:rPr>
          <w:rFonts w:cstheme="minorHAnsi"/>
          <w:color w:val="222222"/>
          <w:shd w:val="clear" w:color="auto" w:fill="FFFFFF"/>
        </w:rPr>
        <w:t xml:space="preserve">Regardless of environment, while using Obi, the flow of </w:t>
      </w:r>
      <w:r w:rsidR="00B34672">
        <w:rPr>
          <w:rFonts w:cstheme="minorHAnsi"/>
          <w:color w:val="222222"/>
          <w:shd w:val="clear" w:color="auto" w:fill="FFFFFF"/>
        </w:rPr>
        <w:t>social interaction</w:t>
      </w:r>
      <w:r w:rsidR="0020630E" w:rsidRPr="00AF1A96">
        <w:rPr>
          <w:rFonts w:cstheme="minorHAnsi"/>
          <w:color w:val="222222"/>
          <w:shd w:val="clear" w:color="auto" w:fill="FFFFFF"/>
        </w:rPr>
        <w:t xml:space="preserve"> with peers is age appropriate, thus improving my patient’s social relationships and their overall food intake</w:t>
      </w:r>
      <w:r w:rsidR="00AF19F8">
        <w:rPr>
          <w:rFonts w:cstheme="minorHAnsi"/>
          <w:color w:val="222222"/>
          <w:shd w:val="clear" w:color="auto" w:fill="FFFFFF"/>
        </w:rPr>
        <w:t>.</w:t>
      </w:r>
      <w:r w:rsidR="0020630E" w:rsidRPr="00AF1A96">
        <w:rPr>
          <w:rFonts w:cstheme="minorHAnsi"/>
          <w:color w:val="222222"/>
          <w:shd w:val="clear" w:color="auto" w:fill="FFFFFF"/>
        </w:rPr>
        <w:t xml:space="preserve"> </w:t>
      </w:r>
      <w:sdt>
        <w:sdtPr>
          <w:rPr>
            <w:rFonts w:cstheme="minorHAnsi"/>
          </w:rPr>
          <w:id w:val="-1995795846"/>
          <w:placeholder>
            <w:docPart w:val="41AE99720B5D446DBD86E27665D623F2"/>
          </w:placeholder>
          <w:showingPlcHdr/>
          <w:text/>
        </w:sdtPr>
        <w:sdtContent>
          <w:r w:rsidR="0020630E" w:rsidRPr="00AF1A96">
            <w:rPr>
              <w:rFonts w:cstheme="minorHAnsi"/>
              <w:color w:val="00B0F0"/>
            </w:rPr>
            <w:t xml:space="preserve">[INSERT </w:t>
          </w:r>
          <w:r w:rsidR="00864A6A" w:rsidRPr="00AF1A96">
            <w:rPr>
              <w:rFonts w:cstheme="minorHAnsi"/>
              <w:color w:val="00B0F0"/>
            </w:rPr>
            <w:t>SPECIFIC</w:t>
          </w:r>
          <w:r w:rsidR="0020630E" w:rsidRPr="00AF1A96">
            <w:rPr>
              <w:rFonts w:cstheme="minorHAnsi"/>
              <w:color w:val="00B0F0"/>
            </w:rPr>
            <w:t xml:space="preserve"> EXAMPLES]</w:t>
          </w:r>
        </w:sdtContent>
      </w:sdt>
      <w:r w:rsidR="0020630E" w:rsidRPr="00AF1A96">
        <w:rPr>
          <w:rFonts w:cstheme="minorHAnsi"/>
        </w:rPr>
        <w:t xml:space="preserve">. </w:t>
      </w:r>
    </w:p>
    <w:p w14:paraId="3FADDEBD" w14:textId="2F289D06" w:rsidR="00B57FCD" w:rsidRDefault="00172991" w:rsidP="00CA4461">
      <w:r w:rsidRPr="00172991">
        <w:rPr>
          <w:b/>
          <w:bCs/>
        </w:rPr>
        <w:t>Conclusion:</w:t>
      </w:r>
      <w:r w:rsidR="00A44D2F">
        <w:rPr>
          <w:b/>
          <w:bCs/>
        </w:rPr>
        <w:t xml:space="preserve"> </w:t>
      </w:r>
      <w:r w:rsidR="005317A1" w:rsidRPr="00C87F44">
        <w:t>Following a sufficient clinical intervention period to draw a</w:t>
      </w:r>
      <w:r w:rsidR="005317A1">
        <w:t xml:space="preserve">n accurate </w:t>
      </w:r>
      <w:r w:rsidR="005317A1" w:rsidRPr="00C87F44">
        <w:t>conclusion,</w:t>
      </w:r>
      <w:r w:rsidR="005317A1">
        <w:rPr>
          <w:b/>
          <w:bCs/>
        </w:rPr>
        <w:t xml:space="preserve"> </w:t>
      </w:r>
      <w:r w:rsidR="005317A1">
        <w:t>m</w:t>
      </w:r>
      <w:r w:rsidR="00CA4461">
        <w:t xml:space="preserve">y final determination is that </w:t>
      </w:r>
      <w:r w:rsidR="006C6312">
        <w:t>my</w:t>
      </w:r>
      <w:r w:rsidR="00CA4461">
        <w:t xml:space="preserve"> patient showed </w:t>
      </w:r>
      <w:r w:rsidR="006C6312">
        <w:t>undeniable</w:t>
      </w:r>
      <w:r w:rsidR="00CA4461">
        <w:t xml:space="preserve"> improvements after </w:t>
      </w:r>
      <w:r w:rsidR="004D63D6">
        <w:t>re</w:t>
      </w:r>
      <w:r w:rsidR="002F35A1">
        <w:t>liably</w:t>
      </w:r>
      <w:r w:rsidR="004D63D6">
        <w:t xml:space="preserve"> using</w:t>
      </w:r>
      <w:r w:rsidR="00CA4461">
        <w:t xml:space="preserve"> Obi</w:t>
      </w:r>
      <w:r w:rsidR="00B57FCD">
        <w:t xml:space="preserve"> safe</w:t>
      </w:r>
      <w:r w:rsidR="00C3400A">
        <w:t>l</w:t>
      </w:r>
      <w:r w:rsidR="00B57FCD">
        <w:t>y and effectively</w:t>
      </w:r>
      <w:r w:rsidR="00194D8E">
        <w:t xml:space="preserve">. </w:t>
      </w:r>
      <w:sdt>
        <w:sdtPr>
          <w:rPr>
            <w:rFonts w:cstheme="minorHAnsi"/>
          </w:rPr>
          <w:id w:val="-142893729"/>
          <w:placeholder>
            <w:docPart w:val="6C187992D41446C0A08A5B22F4154B03"/>
          </w:placeholder>
          <w:showingPlcHdr/>
          <w:text/>
        </w:sdtPr>
        <w:sdtContent>
          <w:r w:rsidR="00194D8E" w:rsidRPr="009401F7">
            <w:rPr>
              <w:rFonts w:cstheme="minorHAnsi"/>
              <w:color w:val="00B0F0"/>
            </w:rPr>
            <w:t>[INSERT PATIENT NAME]</w:t>
          </w:r>
        </w:sdtContent>
      </w:sdt>
      <w:r w:rsidR="00AF19F8">
        <w:rPr>
          <w:rFonts w:cstheme="minorHAnsi"/>
        </w:rPr>
        <w:t xml:space="preserve"> </w:t>
      </w:r>
      <w:r w:rsidR="00194D8E">
        <w:rPr>
          <w:rFonts w:cstheme="minorHAnsi"/>
        </w:rPr>
        <w:t>was able</w:t>
      </w:r>
      <w:r w:rsidR="004D63D6">
        <w:t xml:space="preserve"> to successfully restore</w:t>
      </w:r>
      <w:r w:rsidR="00194D8E">
        <w:t xml:space="preserve"> their </w:t>
      </w:r>
      <w:r w:rsidR="00C3400A">
        <w:t>basic need of functional eating</w:t>
      </w:r>
      <w:r w:rsidR="002F35A1">
        <w:t xml:space="preserve"> and </w:t>
      </w:r>
      <w:r w:rsidR="005A65F6">
        <w:t xml:space="preserve">associated </w:t>
      </w:r>
      <w:r w:rsidR="00194D8E">
        <w:t>age-appropriate development</w:t>
      </w:r>
      <w:r w:rsidR="00CA4461">
        <w:t xml:space="preserve">. </w:t>
      </w:r>
      <w:r w:rsidR="002F35A1">
        <w:rPr>
          <w:rFonts w:cstheme="minorHAnsi"/>
        </w:rPr>
        <w:t xml:space="preserve">For this reason, Obi </w:t>
      </w:r>
      <w:r w:rsidR="00194D8E">
        <w:rPr>
          <w:rFonts w:cstheme="minorHAnsi"/>
        </w:rPr>
        <w:t xml:space="preserve">significantly </w:t>
      </w:r>
      <w:r w:rsidR="00194D8E" w:rsidRPr="008A1C1A">
        <w:rPr>
          <w:rFonts w:cstheme="minorHAnsi"/>
        </w:rPr>
        <w:t>alleviat</w:t>
      </w:r>
      <w:r w:rsidR="002F35A1">
        <w:rPr>
          <w:rFonts w:cstheme="minorHAnsi"/>
        </w:rPr>
        <w:t>es</w:t>
      </w:r>
      <w:r w:rsidR="00194D8E" w:rsidRPr="008A1C1A">
        <w:rPr>
          <w:rFonts w:cstheme="minorHAnsi"/>
        </w:rPr>
        <w:t xml:space="preserve"> the</w:t>
      </w:r>
      <w:r w:rsidR="00B57FCD">
        <w:rPr>
          <w:rFonts w:cstheme="minorHAnsi"/>
        </w:rPr>
        <w:t>ir</w:t>
      </w:r>
      <w:r w:rsidR="00194D8E" w:rsidRPr="008A1C1A">
        <w:rPr>
          <w:rFonts w:cstheme="minorHAnsi"/>
        </w:rPr>
        <w:t xml:space="preserve"> eating </w:t>
      </w:r>
      <w:r w:rsidR="00B57FCD">
        <w:rPr>
          <w:rFonts w:cstheme="minorHAnsi"/>
        </w:rPr>
        <w:t>disability</w:t>
      </w:r>
      <w:r w:rsidR="002F35A1">
        <w:rPr>
          <w:rFonts w:cstheme="minorHAnsi"/>
        </w:rPr>
        <w:t>.</w:t>
      </w:r>
      <w:r w:rsidR="00B57FCD">
        <w:rPr>
          <w:rFonts w:cstheme="minorHAnsi"/>
        </w:rPr>
        <w:t xml:space="preserve"> </w:t>
      </w:r>
      <w:r w:rsidR="002F35A1">
        <w:t xml:space="preserve">I am also confident my patient will adhere to Obi long term and </w:t>
      </w:r>
      <w:r w:rsidR="005A65F6">
        <w:t xml:space="preserve">that it is required </w:t>
      </w:r>
      <w:r w:rsidR="002F35A1">
        <w:t xml:space="preserve">to </w:t>
      </w:r>
      <w:r w:rsidR="00F736D7">
        <w:t xml:space="preserve">continuously </w:t>
      </w:r>
      <w:r w:rsidR="002F35A1">
        <w:t>maintain</w:t>
      </w:r>
      <w:r w:rsidR="00C3400A">
        <w:t xml:space="preserve"> my patient’s overall health</w:t>
      </w:r>
      <w:r w:rsidR="002F35A1">
        <w:t xml:space="preserve">.  </w:t>
      </w:r>
    </w:p>
    <w:p w14:paraId="430CAE37" w14:textId="392B49B2" w:rsidR="0006123D" w:rsidRDefault="00B57FCD">
      <w:r>
        <w:t xml:space="preserve">Based upon </w:t>
      </w:r>
      <w:r w:rsidR="00D005CF">
        <w:t>my documented</w:t>
      </w:r>
      <w:r>
        <w:t xml:space="preserve"> </w:t>
      </w:r>
      <w:r w:rsidR="00D005CF">
        <w:t xml:space="preserve">assessment </w:t>
      </w:r>
      <w:r w:rsidR="00F736D7">
        <w:t>outcomes</w:t>
      </w:r>
      <w:r w:rsidR="002F35A1">
        <w:t xml:space="preserve"> and conclusions</w:t>
      </w:r>
      <w:r>
        <w:t xml:space="preserve">, </w:t>
      </w:r>
      <w:r w:rsidR="00194D8E">
        <w:t>Obi cannot be determined as a convenience for my patient, their caregiver, their health care provider, or for cosmetic reasons.</w:t>
      </w:r>
      <w:r w:rsidR="00C3400A">
        <w:t xml:space="preserve"> </w:t>
      </w:r>
      <w:r w:rsidR="002F35A1">
        <w:t xml:space="preserve">After considering potential risks and benefits to my patient, </w:t>
      </w:r>
      <w:r w:rsidR="000D50B0">
        <w:t xml:space="preserve">Obi </w:t>
      </w:r>
      <w:r w:rsidR="002F35A1">
        <w:t xml:space="preserve">is the </w:t>
      </w:r>
      <w:r w:rsidR="000D50B0">
        <w:t xml:space="preserve">most appropriate level of </w:t>
      </w:r>
      <w:r w:rsidR="00756F13">
        <w:t>service and</w:t>
      </w:r>
      <w:r w:rsidR="000D50B0">
        <w:t xml:space="preserve"> can NOT be omitted without adversely affecting my patient’s condition or the</w:t>
      </w:r>
      <w:r w:rsidR="005B537D">
        <w:t>ir</w:t>
      </w:r>
      <w:r w:rsidR="000D50B0">
        <w:t xml:space="preserve"> quality of medical care.  </w:t>
      </w:r>
      <w:bookmarkStart w:id="2" w:name="_Hlk194402428"/>
      <w:r w:rsidR="000D50B0">
        <w:t>Therefore, I am requesting approval/reimbursement for</w:t>
      </w:r>
      <w:r w:rsidR="005317A1">
        <w:t xml:space="preserve"> the following medical device: Obi Robot</w:t>
      </w:r>
      <w:r w:rsidR="009F4850">
        <w:t>.</w:t>
      </w:r>
      <w:bookmarkEnd w:id="2"/>
    </w:p>
    <w:p w14:paraId="2D17E9C3" w14:textId="77777777" w:rsidR="00D7148F" w:rsidRDefault="00D7148F" w:rsidP="00D7148F">
      <w:pPr>
        <w:rPr>
          <w:rFonts w:ascii="Times New Roman" w:hAnsi="Times New Roman" w:cs="Times New Roman"/>
        </w:rPr>
      </w:pPr>
      <w:r w:rsidRPr="005B537D">
        <w:rPr>
          <w:rFonts w:cstheme="minorHAnsi"/>
        </w:rPr>
        <w:t xml:space="preserve">Thank you in advance for your anticipated approval of this much needed </w:t>
      </w:r>
      <w:r>
        <w:rPr>
          <w:rFonts w:cstheme="minorHAnsi"/>
        </w:rPr>
        <w:t>medical device</w:t>
      </w:r>
      <w:r w:rsidRPr="005B537D">
        <w:rPr>
          <w:rFonts w:cstheme="minorHAnsi"/>
        </w:rPr>
        <w:t xml:space="preserve"> for </w:t>
      </w:r>
      <w:sdt>
        <w:sdtPr>
          <w:rPr>
            <w:rFonts w:cstheme="minorHAnsi"/>
          </w:rPr>
          <w:id w:val="917746038"/>
          <w:placeholder>
            <w:docPart w:val="9B3F1428EB394B74AD13362955C0F5DC"/>
          </w:placeholder>
          <w:showingPlcHdr/>
          <w:text/>
        </w:sdtPr>
        <w:sdtContent>
          <w:r w:rsidRPr="005B537D">
            <w:rPr>
              <w:rFonts w:cstheme="minorHAnsi"/>
              <w:color w:val="00B0F0"/>
            </w:rPr>
            <w:t>[INSERT PATIENT NAME]</w:t>
          </w:r>
        </w:sdtContent>
      </w:sdt>
      <w:r w:rsidRPr="005361FA">
        <w:rPr>
          <w:rFonts w:ascii="Times New Roman" w:hAnsi="Times New Roman" w:cs="Times New Roman"/>
        </w:rPr>
        <w:t xml:space="preserve">.   </w:t>
      </w:r>
    </w:p>
    <w:p w14:paraId="0DEFFE35" w14:textId="77777777" w:rsidR="00A5674C" w:rsidRDefault="00A5674C"/>
    <w:p w14:paraId="1F6E6636" w14:textId="2D902534" w:rsidR="00A87779" w:rsidRPr="00A87779" w:rsidRDefault="00A87779">
      <w:r w:rsidRPr="00A87779">
        <w:t xml:space="preserve">Sincerely, </w:t>
      </w:r>
    </w:p>
    <w:p w14:paraId="78A30D1B" w14:textId="77777777" w:rsidR="005B537D" w:rsidRDefault="005B537D" w:rsidP="00A87779">
      <w:pPr>
        <w:spacing w:after="0" w:line="240" w:lineRule="auto"/>
      </w:pPr>
    </w:p>
    <w:p w14:paraId="1F37F3E1" w14:textId="25ACFE43" w:rsidR="00A87779" w:rsidRPr="00A87779" w:rsidRDefault="00A87779" w:rsidP="00A87779">
      <w:pPr>
        <w:spacing w:after="0" w:line="240" w:lineRule="auto"/>
      </w:pPr>
      <w:r w:rsidRPr="00A87779">
        <w:t>Name:</w:t>
      </w:r>
    </w:p>
    <w:p w14:paraId="0082811A" w14:textId="2A3FDC5A" w:rsidR="00A87779" w:rsidRPr="00A87779" w:rsidRDefault="00A87779" w:rsidP="00A87779">
      <w:pPr>
        <w:spacing w:after="0" w:line="240" w:lineRule="auto"/>
      </w:pPr>
      <w:r w:rsidRPr="00A87779">
        <w:t>Signature:</w:t>
      </w:r>
    </w:p>
    <w:p w14:paraId="52093350" w14:textId="77777777" w:rsidR="00A87779" w:rsidRPr="00A87779" w:rsidRDefault="00A87779" w:rsidP="00A87779">
      <w:pPr>
        <w:spacing w:after="0" w:line="240" w:lineRule="auto"/>
      </w:pPr>
      <w:r w:rsidRPr="00A87779">
        <w:t>License#:</w:t>
      </w:r>
    </w:p>
    <w:p w14:paraId="56B37E93" w14:textId="77777777" w:rsidR="00A87779" w:rsidRPr="00CE0C1B" w:rsidRDefault="00A87779" w:rsidP="00A87779">
      <w:pPr>
        <w:spacing w:after="0" w:line="240" w:lineRule="auto"/>
        <w:rPr>
          <w:sz w:val="20"/>
          <w:szCs w:val="20"/>
        </w:rPr>
      </w:pPr>
      <w:r w:rsidRPr="00A87779">
        <w:t>Date (MM/DD/YY):</w:t>
      </w:r>
    </w:p>
    <w:p w14:paraId="70D7D8A1" w14:textId="27D05395" w:rsidR="00A87779" w:rsidRPr="00CE0C1B" w:rsidRDefault="00A87779" w:rsidP="00A87779">
      <w:pPr>
        <w:spacing w:after="0" w:line="240" w:lineRule="auto"/>
        <w:rPr>
          <w:b/>
          <w:bCs/>
          <w:sz w:val="20"/>
          <w:szCs w:val="20"/>
        </w:rPr>
      </w:pPr>
      <w:r w:rsidRPr="00CE0C1B">
        <w:rPr>
          <w:sz w:val="20"/>
          <w:szCs w:val="20"/>
        </w:rPr>
        <w:t>Contact:</w:t>
      </w:r>
      <w:r w:rsidRPr="00CE0C1B">
        <w:rPr>
          <w:b/>
          <w:bCs/>
          <w:sz w:val="20"/>
          <w:szCs w:val="20"/>
        </w:rPr>
        <w:t xml:space="preserve"> </w:t>
      </w:r>
      <w:r w:rsidRPr="00CE0C1B">
        <w:rPr>
          <w:b/>
          <w:bCs/>
          <w:sz w:val="20"/>
          <w:szCs w:val="20"/>
        </w:rPr>
        <w:br w:type="page"/>
      </w:r>
    </w:p>
    <w:p w14:paraId="6B2A9098" w14:textId="2171DD83" w:rsidR="00245B92" w:rsidRDefault="00EF02CE" w:rsidP="006B435E">
      <w:pPr>
        <w:spacing w:after="0"/>
        <w:rPr>
          <w:b/>
          <w:bCs/>
          <w:sz w:val="20"/>
          <w:szCs w:val="20"/>
        </w:rPr>
      </w:pPr>
      <w:r w:rsidRPr="00CE0C1B">
        <w:rPr>
          <w:b/>
          <w:bCs/>
          <w:sz w:val="20"/>
          <w:szCs w:val="20"/>
        </w:rPr>
        <w:lastRenderedPageBreak/>
        <w:t>Bibliography</w:t>
      </w:r>
    </w:p>
    <w:p w14:paraId="0428B907" w14:textId="77777777" w:rsidR="00FB4F1A" w:rsidRPr="00FB4F1A" w:rsidRDefault="00172719" w:rsidP="00FB4F1A">
      <w:pPr>
        <w:pStyle w:val="Bibliography"/>
        <w:rPr>
          <w:rFonts w:ascii="Calibri" w:hAnsi="Calibri" w:cs="Calibri"/>
          <w:sz w:val="18"/>
        </w:rPr>
      </w:pPr>
      <w:r w:rsidRPr="008F12DD">
        <w:rPr>
          <w:b/>
          <w:bCs/>
          <w:sz w:val="18"/>
          <w:szCs w:val="18"/>
        </w:rPr>
        <w:fldChar w:fldCharType="begin"/>
      </w:r>
      <w:r w:rsidR="00263A23">
        <w:rPr>
          <w:b/>
          <w:bCs/>
          <w:sz w:val="18"/>
          <w:szCs w:val="18"/>
        </w:rPr>
        <w:instrText xml:space="preserve"> ADDIN ZOTERO_BIBL {"uncited":[],"omitted":[],"custom":[]} CSL_BIBLIOGRAPHY </w:instrText>
      </w:r>
      <w:r w:rsidRPr="008F12DD">
        <w:rPr>
          <w:b/>
          <w:bCs/>
          <w:sz w:val="18"/>
          <w:szCs w:val="18"/>
        </w:rPr>
        <w:fldChar w:fldCharType="separate"/>
      </w:r>
      <w:r w:rsidR="00FB4F1A" w:rsidRPr="00FB4F1A">
        <w:rPr>
          <w:rFonts w:ascii="Calibri" w:hAnsi="Calibri" w:cs="Calibri"/>
          <w:sz w:val="18"/>
        </w:rPr>
        <w:t>[1]</w:t>
      </w:r>
      <w:r w:rsidR="00FB4F1A" w:rsidRPr="00FB4F1A">
        <w:rPr>
          <w:rFonts w:ascii="Calibri" w:hAnsi="Calibri" w:cs="Calibri"/>
          <w:sz w:val="18"/>
        </w:rPr>
        <w:tab/>
        <w:t xml:space="preserve">B. B. Burgos, “The Use of Obi Robot for Self-Feeding with Individuals with Upper Extremity Limitations.,” </w:t>
      </w:r>
      <w:r w:rsidR="00FB4F1A" w:rsidRPr="00FB4F1A">
        <w:rPr>
          <w:rFonts w:ascii="Calibri" w:hAnsi="Calibri" w:cs="Calibri"/>
          <w:i/>
          <w:iCs/>
          <w:sz w:val="18"/>
        </w:rPr>
        <w:t>Assist. Technol. Outcomes Benefits ATOB</w:t>
      </w:r>
      <w:r w:rsidR="00FB4F1A" w:rsidRPr="00FB4F1A">
        <w:rPr>
          <w:rFonts w:ascii="Calibri" w:hAnsi="Calibri" w:cs="Calibri"/>
          <w:sz w:val="18"/>
        </w:rPr>
        <w:t>, vol. 19, 2025.</w:t>
      </w:r>
    </w:p>
    <w:p w14:paraId="294EF672"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[2]</w:t>
      </w:r>
      <w:r w:rsidRPr="00FB4F1A">
        <w:rPr>
          <w:rFonts w:ascii="Calibri" w:hAnsi="Calibri" w:cs="Calibri"/>
          <w:sz w:val="18"/>
        </w:rPr>
        <w:tab/>
        <w:t xml:space="preserve">A. Padmanabha </w:t>
      </w:r>
      <w:r w:rsidRPr="00FB4F1A">
        <w:rPr>
          <w:rFonts w:ascii="Calibri" w:hAnsi="Calibri" w:cs="Calibri"/>
          <w:i/>
          <w:iCs/>
          <w:sz w:val="18"/>
        </w:rPr>
        <w:t>et al.</w:t>
      </w:r>
      <w:r w:rsidRPr="00FB4F1A">
        <w:rPr>
          <w:rFonts w:ascii="Calibri" w:hAnsi="Calibri" w:cs="Calibri"/>
          <w:sz w:val="18"/>
        </w:rPr>
        <w:t>, “VoicePilot: Harnessing LLMs as Speech Interfaces for Physically Assistive Robots,” 2024.</w:t>
      </w:r>
    </w:p>
    <w:p w14:paraId="55513008"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[3]</w:t>
      </w:r>
      <w:r w:rsidRPr="00FB4F1A">
        <w:rPr>
          <w:rFonts w:ascii="Calibri" w:hAnsi="Calibri" w:cs="Calibri"/>
          <w:sz w:val="18"/>
        </w:rPr>
        <w:tab/>
        <w:t>C. Barrué, A. Suárez, M. Inzitari, A. Ribera, and G. Alenyà, “NYAM: The Role of Configurable Engagement Strategies in Robotic-Assisted Feeding,” ACM, 2024, pp. 228–232. doi: 10.1145/3610978.3640691.</w:t>
      </w:r>
    </w:p>
    <w:p w14:paraId="26AC7AB9"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[4]</w:t>
      </w:r>
      <w:r w:rsidRPr="00FB4F1A">
        <w:rPr>
          <w:rFonts w:ascii="Calibri" w:hAnsi="Calibri" w:cs="Calibri"/>
          <w:sz w:val="18"/>
        </w:rPr>
        <w:tab/>
      </w:r>
      <w:r w:rsidRPr="00FB4F1A">
        <w:rPr>
          <w:rFonts w:ascii="Calibri" w:hAnsi="Calibri" w:cs="Calibri"/>
          <w:i/>
          <w:iCs/>
          <w:sz w:val="18"/>
        </w:rPr>
        <w:t>International Classification of Functioning Disability and Health (ICF)</w:t>
      </w:r>
      <w:r w:rsidRPr="00FB4F1A">
        <w:rPr>
          <w:rFonts w:ascii="Calibri" w:hAnsi="Calibri" w:cs="Calibri"/>
          <w:sz w:val="18"/>
        </w:rPr>
        <w:t>. Geneva, Switzerland: World Health Organization, 2001. [Online]. Available: https://www.who.int/standards/classifications/international-classification-of-functioning-disability-and-health</w:t>
      </w:r>
    </w:p>
    <w:p w14:paraId="41ECE08D"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[5]</w:t>
      </w:r>
      <w:r w:rsidRPr="00FB4F1A">
        <w:rPr>
          <w:rFonts w:ascii="Calibri" w:hAnsi="Calibri" w:cs="Calibri"/>
          <w:sz w:val="18"/>
        </w:rPr>
        <w:tab/>
        <w:t xml:space="preserve">F. Redstone and J. F. West, “The importance of postural control for feeding.,” </w:t>
      </w:r>
      <w:r w:rsidRPr="00FB4F1A">
        <w:rPr>
          <w:rFonts w:ascii="Calibri" w:hAnsi="Calibri" w:cs="Calibri"/>
          <w:i/>
          <w:iCs/>
          <w:sz w:val="18"/>
        </w:rPr>
        <w:t>Pediatr. Nurs.</w:t>
      </w:r>
      <w:r w:rsidRPr="00FB4F1A">
        <w:rPr>
          <w:rFonts w:ascii="Calibri" w:hAnsi="Calibri" w:cs="Calibri"/>
          <w:sz w:val="18"/>
        </w:rPr>
        <w:t>, vol. 30, no. 2, pp. 97–100, 2004.</w:t>
      </w:r>
    </w:p>
    <w:p w14:paraId="376F56CB"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[6]</w:t>
      </w:r>
      <w:r w:rsidRPr="00FB4F1A">
        <w:rPr>
          <w:rFonts w:ascii="Calibri" w:hAnsi="Calibri" w:cs="Calibri"/>
          <w:sz w:val="18"/>
        </w:rPr>
        <w:tab/>
        <w:t xml:space="preserve">S. E. Langmore </w:t>
      </w:r>
      <w:r w:rsidRPr="00FB4F1A">
        <w:rPr>
          <w:rFonts w:ascii="Calibri" w:hAnsi="Calibri" w:cs="Calibri"/>
          <w:i/>
          <w:iCs/>
          <w:sz w:val="18"/>
        </w:rPr>
        <w:t>et al.</w:t>
      </w:r>
      <w:r w:rsidRPr="00FB4F1A">
        <w:rPr>
          <w:rFonts w:ascii="Calibri" w:hAnsi="Calibri" w:cs="Calibri"/>
          <w:sz w:val="18"/>
        </w:rPr>
        <w:t xml:space="preserve">, “Predictors of Aspiration Pneumonia: How Important Is Dysphagia?,” </w:t>
      </w:r>
      <w:r w:rsidRPr="00FB4F1A">
        <w:rPr>
          <w:rFonts w:ascii="Calibri" w:hAnsi="Calibri" w:cs="Calibri"/>
          <w:i/>
          <w:iCs/>
          <w:sz w:val="18"/>
        </w:rPr>
        <w:t>Dysphagia</w:t>
      </w:r>
      <w:r w:rsidRPr="00FB4F1A">
        <w:rPr>
          <w:rFonts w:ascii="Calibri" w:hAnsi="Calibri" w:cs="Calibri"/>
          <w:sz w:val="18"/>
        </w:rPr>
        <w:t>, vol. 13, no. 2, pp. 69–81, 1998, doi: 10.1007/PL00009559.</w:t>
      </w:r>
    </w:p>
    <w:p w14:paraId="45616DDB"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[7]</w:t>
      </w:r>
      <w:r w:rsidRPr="00FB4F1A">
        <w:rPr>
          <w:rFonts w:ascii="Calibri" w:hAnsi="Calibri" w:cs="Calibri"/>
          <w:sz w:val="18"/>
        </w:rPr>
        <w:tab/>
        <w:t xml:space="preserve">T. Karagiozoglou-Lampoudi, E. Daskalou, E. Vargiami, and D. Zafeiriou, “Identification of feeding risk factors for impaired nutrition status in paediatric patients with cerebral palsy,” </w:t>
      </w:r>
      <w:r w:rsidRPr="00FB4F1A">
        <w:rPr>
          <w:rFonts w:ascii="Calibri" w:hAnsi="Calibri" w:cs="Calibri"/>
          <w:i/>
          <w:iCs/>
          <w:sz w:val="18"/>
        </w:rPr>
        <w:t>Acta Paediatr.</w:t>
      </w:r>
      <w:r w:rsidRPr="00FB4F1A">
        <w:rPr>
          <w:rFonts w:ascii="Calibri" w:hAnsi="Calibri" w:cs="Calibri"/>
          <w:sz w:val="18"/>
        </w:rPr>
        <w:t>, vol. 101, no. 6, pp. 649–654, 2012, doi: 10.1111/j.1651-2227.2012.02641.x.</w:t>
      </w:r>
    </w:p>
    <w:p w14:paraId="45C048AB"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[8]</w:t>
      </w:r>
      <w:r w:rsidRPr="00FB4F1A">
        <w:rPr>
          <w:rFonts w:ascii="Calibri" w:hAnsi="Calibri" w:cs="Calibri"/>
          <w:sz w:val="18"/>
        </w:rPr>
        <w:tab/>
        <w:t>S. G. Burger, J. Kayser-Jones, and J. P. Bell, “Malnutrition and Dehydration in Nursing Homes: Key Issues in Prevention and Treatment”.</w:t>
      </w:r>
    </w:p>
    <w:p w14:paraId="7CB0A75A"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[9]</w:t>
      </w:r>
      <w:r w:rsidRPr="00FB4F1A">
        <w:rPr>
          <w:rFonts w:ascii="Calibri" w:hAnsi="Calibri" w:cs="Calibri"/>
          <w:sz w:val="18"/>
        </w:rPr>
        <w:tab/>
        <w:t xml:space="preserve">A. Mahmoodpoor, K. Shadvar, S. Saghaleini, K. Dehghan, and Z. Ostadi, “Pressure ulcer and nutrition,” </w:t>
      </w:r>
      <w:r w:rsidRPr="00FB4F1A">
        <w:rPr>
          <w:rFonts w:ascii="Calibri" w:hAnsi="Calibri" w:cs="Calibri"/>
          <w:i/>
          <w:iCs/>
          <w:sz w:val="18"/>
        </w:rPr>
        <w:t>Indian J. Crit. Care Med.</w:t>
      </w:r>
      <w:r w:rsidRPr="00FB4F1A">
        <w:rPr>
          <w:rFonts w:ascii="Calibri" w:hAnsi="Calibri" w:cs="Calibri"/>
          <w:sz w:val="18"/>
        </w:rPr>
        <w:t>, vol. 22, no. 4, pp. 283–289, Apr. 2018, doi: 10.4103/ijccm.IJCCM_277_17.</w:t>
      </w:r>
    </w:p>
    <w:p w14:paraId="201122BB"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[10]</w:t>
      </w:r>
      <w:r w:rsidRPr="00FB4F1A">
        <w:rPr>
          <w:rFonts w:ascii="Calibri" w:hAnsi="Calibri" w:cs="Calibri"/>
          <w:sz w:val="18"/>
        </w:rPr>
        <w:tab/>
        <w:t xml:space="preserve">S. M. Wildi, R. Tutuian, and D. O. Castell, “The Influence of Rapid Food Intake on Postprandial Reflux: Studies in Healthy Volunteers,” </w:t>
      </w:r>
      <w:r w:rsidRPr="00FB4F1A">
        <w:rPr>
          <w:rFonts w:ascii="Calibri" w:hAnsi="Calibri" w:cs="Calibri"/>
          <w:i/>
          <w:iCs/>
          <w:sz w:val="18"/>
        </w:rPr>
        <w:t>Am. J. Gastroenterol.</w:t>
      </w:r>
      <w:r w:rsidRPr="00FB4F1A">
        <w:rPr>
          <w:rFonts w:ascii="Calibri" w:hAnsi="Calibri" w:cs="Calibri"/>
          <w:sz w:val="18"/>
        </w:rPr>
        <w:t>, vol. 99, no. 9, pp. 1645–1651, 2004, doi: 10.1111/j.1572-0241.2004.30273.x.</w:t>
      </w:r>
    </w:p>
    <w:p w14:paraId="4C6E1D4D"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[11]</w:t>
      </w:r>
      <w:r w:rsidRPr="00FB4F1A">
        <w:rPr>
          <w:rFonts w:ascii="Calibri" w:hAnsi="Calibri" w:cs="Calibri"/>
          <w:sz w:val="18"/>
        </w:rPr>
        <w:tab/>
        <w:t xml:space="preserve">D. M. Clarrett and C. Hachem, “Gastroesophageal Reflux Disease (GERD),” </w:t>
      </w:r>
      <w:r w:rsidRPr="00FB4F1A">
        <w:rPr>
          <w:rFonts w:ascii="Calibri" w:hAnsi="Calibri" w:cs="Calibri"/>
          <w:i/>
          <w:iCs/>
          <w:sz w:val="18"/>
        </w:rPr>
        <w:t>Mo Med</w:t>
      </w:r>
      <w:r w:rsidRPr="00FB4F1A">
        <w:rPr>
          <w:rFonts w:ascii="Calibri" w:hAnsi="Calibri" w:cs="Calibri"/>
          <w:sz w:val="18"/>
        </w:rPr>
        <w:t>, vol. 115, no. 3, pp. 214–218, 2018.</w:t>
      </w:r>
    </w:p>
    <w:p w14:paraId="3766E3BF"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[12]</w:t>
      </w:r>
      <w:r w:rsidRPr="00FB4F1A">
        <w:rPr>
          <w:rFonts w:ascii="Calibri" w:hAnsi="Calibri" w:cs="Calibri"/>
          <w:sz w:val="18"/>
        </w:rPr>
        <w:tab/>
        <w:t xml:space="preserve">C. E. Childs, P. C. Calder, and E. A. Miles, “Diet and Immune Function,” </w:t>
      </w:r>
      <w:r w:rsidRPr="00FB4F1A">
        <w:rPr>
          <w:rFonts w:ascii="Calibri" w:hAnsi="Calibri" w:cs="Calibri"/>
          <w:i/>
          <w:iCs/>
          <w:sz w:val="18"/>
        </w:rPr>
        <w:t>Nutrients</w:t>
      </w:r>
      <w:r w:rsidRPr="00FB4F1A">
        <w:rPr>
          <w:rFonts w:ascii="Calibri" w:hAnsi="Calibri" w:cs="Calibri"/>
          <w:sz w:val="18"/>
        </w:rPr>
        <w:t>, vol. 11, no. 8, p. 1933, 2019, doi: 10.3390/nu11081933.</w:t>
      </w:r>
    </w:p>
    <w:p w14:paraId="013BE8E3"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[13]</w:t>
      </w:r>
      <w:r w:rsidRPr="00FB4F1A">
        <w:rPr>
          <w:rFonts w:ascii="Calibri" w:hAnsi="Calibri" w:cs="Calibri"/>
          <w:sz w:val="18"/>
        </w:rPr>
        <w:tab/>
        <w:t xml:space="preserve">R. J. Stratton, “Malnutrition: another health inequality?: Pennington Lecture,” </w:t>
      </w:r>
      <w:r w:rsidRPr="00FB4F1A">
        <w:rPr>
          <w:rFonts w:ascii="Calibri" w:hAnsi="Calibri" w:cs="Calibri"/>
          <w:i/>
          <w:iCs/>
          <w:sz w:val="18"/>
        </w:rPr>
        <w:t>Proc. Nutr. Soc.</w:t>
      </w:r>
      <w:r w:rsidRPr="00FB4F1A">
        <w:rPr>
          <w:rFonts w:ascii="Calibri" w:hAnsi="Calibri" w:cs="Calibri"/>
          <w:sz w:val="18"/>
        </w:rPr>
        <w:t>, vol. 66, no. 4, pp. 522–529, 2007, doi: 10.1017/S0029665107005848.</w:t>
      </w:r>
    </w:p>
    <w:p w14:paraId="7261FF6A"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[14]</w:t>
      </w:r>
      <w:r w:rsidRPr="00FB4F1A">
        <w:rPr>
          <w:rFonts w:ascii="Calibri" w:hAnsi="Calibri" w:cs="Calibri"/>
          <w:sz w:val="18"/>
        </w:rPr>
        <w:tab/>
        <w:t xml:space="preserve">S. D. Horn </w:t>
      </w:r>
      <w:r w:rsidRPr="00FB4F1A">
        <w:rPr>
          <w:rFonts w:ascii="Calibri" w:hAnsi="Calibri" w:cs="Calibri"/>
          <w:i/>
          <w:iCs/>
          <w:sz w:val="18"/>
        </w:rPr>
        <w:t>et al.</w:t>
      </w:r>
      <w:r w:rsidRPr="00FB4F1A">
        <w:rPr>
          <w:rFonts w:ascii="Calibri" w:hAnsi="Calibri" w:cs="Calibri"/>
          <w:sz w:val="18"/>
        </w:rPr>
        <w:t xml:space="preserve">, “The National Pressure Ulcer Long-Term Care Study: Pressure Ulcer Development in Long-Term Care Residents,” </w:t>
      </w:r>
      <w:r w:rsidRPr="00FB4F1A">
        <w:rPr>
          <w:rFonts w:ascii="Calibri" w:hAnsi="Calibri" w:cs="Calibri"/>
          <w:i/>
          <w:iCs/>
          <w:sz w:val="18"/>
        </w:rPr>
        <w:t>J. Am. Geriatr. Soc.</w:t>
      </w:r>
      <w:r w:rsidRPr="00FB4F1A">
        <w:rPr>
          <w:rFonts w:ascii="Calibri" w:hAnsi="Calibri" w:cs="Calibri"/>
          <w:sz w:val="18"/>
        </w:rPr>
        <w:t>, vol. 52, no. 3, pp. 359–367, 2004, doi: 10.1111/j.1532-5415.2004.52106.x.</w:t>
      </w:r>
    </w:p>
    <w:p w14:paraId="34907321"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[15]</w:t>
      </w:r>
      <w:r w:rsidRPr="00FB4F1A">
        <w:rPr>
          <w:rFonts w:ascii="Calibri" w:hAnsi="Calibri" w:cs="Calibri"/>
          <w:sz w:val="18"/>
        </w:rPr>
        <w:tab/>
        <w:t xml:space="preserve">K. H. Jones </w:t>
      </w:r>
      <w:r w:rsidRPr="00FB4F1A">
        <w:rPr>
          <w:rFonts w:ascii="Calibri" w:hAnsi="Calibri" w:cs="Calibri"/>
          <w:i/>
          <w:iCs/>
          <w:sz w:val="18"/>
        </w:rPr>
        <w:t>et al.</w:t>
      </w:r>
      <w:r w:rsidRPr="00FB4F1A">
        <w:rPr>
          <w:rFonts w:ascii="Calibri" w:hAnsi="Calibri" w:cs="Calibri"/>
          <w:sz w:val="18"/>
        </w:rPr>
        <w:t xml:space="preserve">, “Physical Disability, Anxiety and Depression in People with MS: An Internet-Based Survey via the UK MS Register,” </w:t>
      </w:r>
      <w:r w:rsidRPr="00FB4F1A">
        <w:rPr>
          <w:rFonts w:ascii="Calibri" w:hAnsi="Calibri" w:cs="Calibri"/>
          <w:i/>
          <w:iCs/>
          <w:sz w:val="18"/>
        </w:rPr>
        <w:t>PLoS ONE</w:t>
      </w:r>
      <w:r w:rsidRPr="00FB4F1A">
        <w:rPr>
          <w:rFonts w:ascii="Calibri" w:hAnsi="Calibri" w:cs="Calibri"/>
          <w:sz w:val="18"/>
        </w:rPr>
        <w:t>, vol. 9, no. 8, p. e104604, 2014, doi: 10.1371/journal.pone.0104604.</w:t>
      </w:r>
    </w:p>
    <w:p w14:paraId="249D947A"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[16]</w:t>
      </w:r>
      <w:r w:rsidRPr="00FB4F1A">
        <w:rPr>
          <w:rFonts w:ascii="Calibri" w:hAnsi="Calibri" w:cs="Calibri"/>
          <w:sz w:val="18"/>
        </w:rPr>
        <w:tab/>
        <w:t xml:space="preserve">M. P. Uwimbabazi, J. d’Amour Muziki, A. Muhayisa, T. Uwera, and J. Mutabaruka, “The mediating role of anxiety between negative feelings and depression among students with congenital physical disabilities,” </w:t>
      </w:r>
      <w:r w:rsidRPr="00FB4F1A">
        <w:rPr>
          <w:rFonts w:ascii="Calibri" w:hAnsi="Calibri" w:cs="Calibri"/>
          <w:i/>
          <w:iCs/>
          <w:sz w:val="18"/>
        </w:rPr>
        <w:t>PLOS ONE</w:t>
      </w:r>
      <w:r w:rsidRPr="00FB4F1A">
        <w:rPr>
          <w:rFonts w:ascii="Calibri" w:hAnsi="Calibri" w:cs="Calibri"/>
          <w:sz w:val="18"/>
        </w:rPr>
        <w:t>, vol. 18, no. 3, p. e0281430, 2023, doi: 10.1371/journal.pone.0281430.</w:t>
      </w:r>
    </w:p>
    <w:p w14:paraId="4C55DDD8"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[17]</w:t>
      </w:r>
      <w:r w:rsidRPr="00FB4F1A">
        <w:rPr>
          <w:rFonts w:ascii="Calibri" w:hAnsi="Calibri" w:cs="Calibri"/>
          <w:sz w:val="18"/>
        </w:rPr>
        <w:tab/>
        <w:t xml:space="preserve">G. A. Brenes </w:t>
      </w:r>
      <w:r w:rsidRPr="00FB4F1A">
        <w:rPr>
          <w:rFonts w:ascii="Calibri" w:hAnsi="Calibri" w:cs="Calibri"/>
          <w:i/>
          <w:iCs/>
          <w:sz w:val="18"/>
        </w:rPr>
        <w:t>et al.</w:t>
      </w:r>
      <w:r w:rsidRPr="00FB4F1A">
        <w:rPr>
          <w:rFonts w:ascii="Calibri" w:hAnsi="Calibri" w:cs="Calibri"/>
          <w:sz w:val="18"/>
        </w:rPr>
        <w:t xml:space="preserve">, “The Influence of Anxiety on the Progression of Disability,” </w:t>
      </w:r>
      <w:r w:rsidRPr="00FB4F1A">
        <w:rPr>
          <w:rFonts w:ascii="Calibri" w:hAnsi="Calibri" w:cs="Calibri"/>
          <w:i/>
          <w:iCs/>
          <w:sz w:val="18"/>
        </w:rPr>
        <w:t>J. Am. Geriatr. Soc.</w:t>
      </w:r>
      <w:r w:rsidRPr="00FB4F1A">
        <w:rPr>
          <w:rFonts w:ascii="Calibri" w:hAnsi="Calibri" w:cs="Calibri"/>
          <w:sz w:val="18"/>
        </w:rPr>
        <w:t>, vol. 53, no. 1, pp. 34–39, 2005, doi: 10.1111/j.1532-5415.2005.53007.x.</w:t>
      </w:r>
    </w:p>
    <w:p w14:paraId="152C72ED"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[18]</w:t>
      </w:r>
      <w:r w:rsidRPr="00FB4F1A">
        <w:rPr>
          <w:rFonts w:ascii="Calibri" w:hAnsi="Calibri" w:cs="Calibri"/>
          <w:sz w:val="18"/>
        </w:rPr>
        <w:tab/>
        <w:t xml:space="preserve">National Institute of Neurological Disorders and Stroke, “Cerebral Palsy,” </w:t>
      </w:r>
      <w:r w:rsidRPr="00FB4F1A">
        <w:rPr>
          <w:rFonts w:ascii="Calibri" w:hAnsi="Calibri" w:cs="Calibri"/>
          <w:i/>
          <w:iCs/>
          <w:sz w:val="18"/>
        </w:rPr>
        <w:t>Natl. Inst. Health Natl. Inst. Neurol. Disord. Stroke</w:t>
      </w:r>
      <w:r w:rsidRPr="00FB4F1A">
        <w:rPr>
          <w:rFonts w:ascii="Calibri" w:hAnsi="Calibri" w:cs="Calibri"/>
          <w:sz w:val="18"/>
        </w:rPr>
        <w:t>, 2023.</w:t>
      </w:r>
    </w:p>
    <w:p w14:paraId="65419E33"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[19]</w:t>
      </w:r>
      <w:r w:rsidRPr="00FB4F1A">
        <w:rPr>
          <w:rFonts w:ascii="Calibri" w:hAnsi="Calibri" w:cs="Calibri"/>
          <w:sz w:val="18"/>
        </w:rPr>
        <w:tab/>
        <w:t xml:space="preserve">S.-C. Shen, K.-H. Huang, P.-T. Kung, L.-T. Chiu, and W.-C. Tsai, “Incidence, risk, and associated factors of depression in adults with physical and sensory disabilities: A nationwide population-based study,” </w:t>
      </w:r>
      <w:r w:rsidRPr="00FB4F1A">
        <w:rPr>
          <w:rFonts w:ascii="Calibri" w:hAnsi="Calibri" w:cs="Calibri"/>
          <w:i/>
          <w:iCs/>
          <w:sz w:val="18"/>
        </w:rPr>
        <w:t>PLOS ONE</w:t>
      </w:r>
      <w:r w:rsidRPr="00FB4F1A">
        <w:rPr>
          <w:rFonts w:ascii="Calibri" w:hAnsi="Calibri" w:cs="Calibri"/>
          <w:sz w:val="18"/>
        </w:rPr>
        <w:t>, vol. 12, no. 3, p. e0175141, 2017, doi: 10.1371/journal.pone.0175141.</w:t>
      </w:r>
    </w:p>
    <w:p w14:paraId="215EFBE5"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[20]</w:t>
      </w:r>
      <w:r w:rsidRPr="00FB4F1A">
        <w:rPr>
          <w:rFonts w:ascii="Calibri" w:hAnsi="Calibri" w:cs="Calibri"/>
          <w:sz w:val="18"/>
        </w:rPr>
        <w:tab/>
        <w:t xml:space="preserve">H. Meltzer </w:t>
      </w:r>
      <w:r w:rsidRPr="00FB4F1A">
        <w:rPr>
          <w:rFonts w:ascii="Calibri" w:hAnsi="Calibri" w:cs="Calibri"/>
          <w:i/>
          <w:iCs/>
          <w:sz w:val="18"/>
        </w:rPr>
        <w:t>et al.</w:t>
      </w:r>
      <w:r w:rsidRPr="00FB4F1A">
        <w:rPr>
          <w:rFonts w:ascii="Calibri" w:hAnsi="Calibri" w:cs="Calibri"/>
          <w:sz w:val="18"/>
        </w:rPr>
        <w:t xml:space="preserve">, “Physical ill health, disability, dependence and depression: Results from the 2007 national survey of psychiatric morbidity among adults in England,” </w:t>
      </w:r>
      <w:r w:rsidRPr="00FB4F1A">
        <w:rPr>
          <w:rFonts w:ascii="Calibri" w:hAnsi="Calibri" w:cs="Calibri"/>
          <w:i/>
          <w:iCs/>
          <w:sz w:val="18"/>
        </w:rPr>
        <w:t>Disabil. Health J.</w:t>
      </w:r>
      <w:r w:rsidRPr="00FB4F1A">
        <w:rPr>
          <w:rFonts w:ascii="Calibri" w:hAnsi="Calibri" w:cs="Calibri"/>
          <w:sz w:val="18"/>
        </w:rPr>
        <w:t>, vol. 5, no. 2, pp. 102–110, 2012, doi: 10.1016/j.dhjo.2012.02.001.</w:t>
      </w:r>
    </w:p>
    <w:p w14:paraId="53F25336"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[21]</w:t>
      </w:r>
      <w:r w:rsidRPr="00FB4F1A">
        <w:rPr>
          <w:rFonts w:ascii="Calibri" w:hAnsi="Calibri" w:cs="Calibri"/>
          <w:sz w:val="18"/>
        </w:rPr>
        <w:tab/>
        <w:t xml:space="preserve">L. C. Barry, P. R. Soulos, T. E. Murphy, S. V. Kasl, and T. M. Gill, “Association Between Indicators of Disability Burden and Subsequent Depression Among Older Persons,” </w:t>
      </w:r>
      <w:r w:rsidRPr="00FB4F1A">
        <w:rPr>
          <w:rFonts w:ascii="Calibri" w:hAnsi="Calibri" w:cs="Calibri"/>
          <w:i/>
          <w:iCs/>
          <w:sz w:val="18"/>
        </w:rPr>
        <w:t>J. Gerontol. Ser. A</w:t>
      </w:r>
      <w:r w:rsidRPr="00FB4F1A">
        <w:rPr>
          <w:rFonts w:ascii="Calibri" w:hAnsi="Calibri" w:cs="Calibri"/>
          <w:sz w:val="18"/>
        </w:rPr>
        <w:t>, vol. 68, no. 3, pp. 286–292, 2013, doi: 10.1093/gerona/gls179.</w:t>
      </w:r>
    </w:p>
    <w:p w14:paraId="126F225A"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[22]</w:t>
      </w:r>
      <w:r w:rsidRPr="00FB4F1A">
        <w:rPr>
          <w:rFonts w:ascii="Calibri" w:hAnsi="Calibri" w:cs="Calibri"/>
          <w:sz w:val="18"/>
        </w:rPr>
        <w:tab/>
        <w:t xml:space="preserve">J. T. Newsom, “Another Side to Caregiving: Negative Reactions to Being Helped,” </w:t>
      </w:r>
      <w:r w:rsidRPr="00FB4F1A">
        <w:rPr>
          <w:rFonts w:ascii="Calibri" w:hAnsi="Calibri" w:cs="Calibri"/>
          <w:i/>
          <w:iCs/>
          <w:sz w:val="18"/>
        </w:rPr>
        <w:t>Curr. Dir. Psychol. Sci.</w:t>
      </w:r>
      <w:r w:rsidRPr="00FB4F1A">
        <w:rPr>
          <w:rFonts w:ascii="Calibri" w:hAnsi="Calibri" w:cs="Calibri"/>
          <w:sz w:val="18"/>
        </w:rPr>
        <w:t>, vol. 8, no. 6, pp. 183–187, 1999, doi: 10.1111/1467-8721.00043.</w:t>
      </w:r>
    </w:p>
    <w:p w14:paraId="4C85811B"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[23]</w:t>
      </w:r>
      <w:r w:rsidRPr="00FB4F1A">
        <w:rPr>
          <w:rFonts w:ascii="Calibri" w:hAnsi="Calibri" w:cs="Calibri"/>
          <w:sz w:val="18"/>
        </w:rPr>
        <w:tab/>
        <w:t xml:space="preserve">M. Z. Islam, T. R. Disu, S. Farjana, and M. M. Rahman, “Malnutrition and other risk factors of geriatric depression: a community-based comparative cross-sectional study in older adults in rural Bangladesh,” </w:t>
      </w:r>
      <w:r w:rsidRPr="00FB4F1A">
        <w:rPr>
          <w:rFonts w:ascii="Calibri" w:hAnsi="Calibri" w:cs="Calibri"/>
          <w:i/>
          <w:iCs/>
          <w:sz w:val="18"/>
        </w:rPr>
        <w:t>BMC Geriatr.</w:t>
      </w:r>
      <w:r w:rsidRPr="00FB4F1A">
        <w:rPr>
          <w:rFonts w:ascii="Calibri" w:hAnsi="Calibri" w:cs="Calibri"/>
          <w:sz w:val="18"/>
        </w:rPr>
        <w:t>, vol. 21, no. 1, p. 572, 2021, doi: 10.1186/s12877-021-02535-w.</w:t>
      </w:r>
    </w:p>
    <w:p w14:paraId="38B6BB4E"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lastRenderedPageBreak/>
        <w:t>[24]</w:t>
      </w:r>
      <w:r w:rsidRPr="00FB4F1A">
        <w:rPr>
          <w:rFonts w:ascii="Calibri" w:hAnsi="Calibri" w:cs="Calibri"/>
          <w:sz w:val="18"/>
        </w:rPr>
        <w:tab/>
        <w:t>A. Nanavati, P. Alves-Oliveira, T. Schrenk, E. K. Gordon, M. Cakmak, and S. S. Srinivasa, “Design Principles for Robot-Assisted Feeding in Social Contexts,” ACM, 2023, pp. 24–33. doi: 10.1145/3568162.3576988.</w:t>
      </w:r>
    </w:p>
    <w:p w14:paraId="553C78A6"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[25]</w:t>
      </w:r>
      <w:r w:rsidRPr="00FB4F1A">
        <w:rPr>
          <w:rFonts w:ascii="Calibri" w:hAnsi="Calibri" w:cs="Calibri"/>
          <w:sz w:val="18"/>
        </w:rPr>
        <w:tab/>
        <w:t xml:space="preserve">S. Cachecho, J. Boruff, T. Wong, F. Lacombe, and N. Dahan-Oliel, “Psychosocial wellbeing among children and adults with arthrogryposis: a scoping review,” </w:t>
      </w:r>
      <w:r w:rsidRPr="00FB4F1A">
        <w:rPr>
          <w:rFonts w:ascii="Calibri" w:hAnsi="Calibri" w:cs="Calibri"/>
          <w:i/>
          <w:iCs/>
          <w:sz w:val="18"/>
        </w:rPr>
        <w:t>Health Qual. Life Outcomes</w:t>
      </w:r>
      <w:r w:rsidRPr="00FB4F1A">
        <w:rPr>
          <w:rFonts w:ascii="Calibri" w:hAnsi="Calibri" w:cs="Calibri"/>
          <w:sz w:val="18"/>
        </w:rPr>
        <w:t>, vol. 19, no. 1, p. 263, 2021, doi: 10.1186/s12955-021-01896-5.</w:t>
      </w:r>
    </w:p>
    <w:p w14:paraId="0BED65EE"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[26]</w:t>
      </w:r>
      <w:r w:rsidRPr="00FB4F1A">
        <w:rPr>
          <w:rFonts w:ascii="Calibri" w:hAnsi="Calibri" w:cs="Calibri"/>
          <w:sz w:val="18"/>
        </w:rPr>
        <w:tab/>
        <w:t xml:space="preserve">P. A. M. Smeets, L. Charbonnier, F. van Meer, L. N. van der Laan, and M. S. Spetter, “Food-induced brain responses and eating behaviour,” </w:t>
      </w:r>
      <w:r w:rsidRPr="00FB4F1A">
        <w:rPr>
          <w:rFonts w:ascii="Calibri" w:hAnsi="Calibri" w:cs="Calibri"/>
          <w:i/>
          <w:iCs/>
          <w:sz w:val="18"/>
        </w:rPr>
        <w:t>Proc. Nutr. Soc.</w:t>
      </w:r>
      <w:r w:rsidRPr="00FB4F1A">
        <w:rPr>
          <w:rFonts w:ascii="Calibri" w:hAnsi="Calibri" w:cs="Calibri"/>
          <w:sz w:val="18"/>
        </w:rPr>
        <w:t>, vol. 71, no. 4, pp. 511–520, 2012, doi: 10.1017/S0029665112000808.</w:t>
      </w:r>
    </w:p>
    <w:p w14:paraId="2D6C04F9" w14:textId="77777777" w:rsidR="00FB4F1A" w:rsidRPr="00FB4F1A" w:rsidRDefault="00FB4F1A" w:rsidP="00FB4F1A">
      <w:pPr>
        <w:pStyle w:val="Bibliography"/>
        <w:rPr>
          <w:rFonts w:ascii="Calibri" w:hAnsi="Calibri" w:cs="Calibri"/>
          <w:sz w:val="18"/>
        </w:rPr>
      </w:pPr>
      <w:r w:rsidRPr="00FB4F1A">
        <w:rPr>
          <w:rFonts w:ascii="Calibri" w:hAnsi="Calibri" w:cs="Calibri"/>
          <w:sz w:val="18"/>
        </w:rPr>
        <w:t>[27]</w:t>
      </w:r>
      <w:r w:rsidRPr="00FB4F1A">
        <w:rPr>
          <w:rFonts w:ascii="Calibri" w:hAnsi="Calibri" w:cs="Calibri"/>
          <w:sz w:val="18"/>
        </w:rPr>
        <w:tab/>
        <w:t xml:space="preserve">V. R. Venna, Y. Xu, S. J. Doran, A. Patrizz, and L. D. McCullough, “Social interaction plays a critical role in neurogenesis and recovery after stroke,” </w:t>
      </w:r>
      <w:r w:rsidRPr="00FB4F1A">
        <w:rPr>
          <w:rFonts w:ascii="Calibri" w:hAnsi="Calibri" w:cs="Calibri"/>
          <w:i/>
          <w:iCs/>
          <w:sz w:val="18"/>
        </w:rPr>
        <w:t>Transl. Psychiatry</w:t>
      </w:r>
      <w:r w:rsidRPr="00FB4F1A">
        <w:rPr>
          <w:rFonts w:ascii="Calibri" w:hAnsi="Calibri" w:cs="Calibri"/>
          <w:sz w:val="18"/>
        </w:rPr>
        <w:t>, vol. 4, no. 1, pp. e351–e351, 2014, doi: 10.1038/tp.2013.128.</w:t>
      </w:r>
    </w:p>
    <w:p w14:paraId="5C036AFF" w14:textId="7E1F5B51" w:rsidR="00172719" w:rsidRPr="006B435E" w:rsidRDefault="00172719" w:rsidP="00263A23">
      <w:pPr>
        <w:spacing w:after="0"/>
        <w:rPr>
          <w:b/>
          <w:bCs/>
          <w:sz w:val="20"/>
          <w:szCs w:val="20"/>
        </w:rPr>
      </w:pPr>
      <w:r w:rsidRPr="008F12DD">
        <w:rPr>
          <w:b/>
          <w:bCs/>
          <w:sz w:val="18"/>
          <w:szCs w:val="18"/>
        </w:rPr>
        <w:fldChar w:fldCharType="end"/>
      </w:r>
    </w:p>
    <w:sectPr w:rsidR="00172719" w:rsidRPr="006B435E" w:rsidSect="009A766E">
      <w:headerReference w:type="default" r:id="rId14"/>
      <w:footerReference w:type="default" r:id="rId15"/>
      <w:pgSz w:w="12240" w:h="15840"/>
      <w:pgMar w:top="181" w:right="720" w:bottom="720" w:left="720" w:header="720" w:footer="36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n Dekar" w:date="2025-04-22T08:21:00Z" w:initials="JD">
    <w:p w14:paraId="3598D59C" w14:textId="77777777" w:rsidR="006804D1" w:rsidRDefault="006804D1" w:rsidP="006804D1">
      <w:pPr>
        <w:pStyle w:val="CommentText"/>
      </w:pPr>
      <w:r>
        <w:rPr>
          <w:rStyle w:val="CommentReference"/>
        </w:rPr>
        <w:annotationRef/>
      </w:r>
      <w:r>
        <w:t>Remove if not applicable for the patient.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98D5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F2154E" w16cex:dateUtc="2025-04-22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98D59C" w16cid:durableId="61F215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8C88" w14:textId="77777777" w:rsidR="00704496" w:rsidRDefault="00704496" w:rsidP="007B01AB">
      <w:pPr>
        <w:spacing w:after="0" w:line="240" w:lineRule="auto"/>
      </w:pPr>
      <w:r>
        <w:separator/>
      </w:r>
    </w:p>
  </w:endnote>
  <w:endnote w:type="continuationSeparator" w:id="0">
    <w:p w14:paraId="21CE8B03" w14:textId="77777777" w:rsidR="00704496" w:rsidRDefault="00704496" w:rsidP="007B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949932"/>
      <w:docPartObj>
        <w:docPartGallery w:val="Page Numbers (Bottom of Page)"/>
        <w:docPartUnique/>
      </w:docPartObj>
    </w:sdtPr>
    <w:sdtContent>
      <w:sdt>
        <w:sdtPr>
          <w:id w:val="1728636285"/>
          <w:docPartObj>
            <w:docPartGallery w:val="Page Numbers (Top of Page)"/>
            <w:docPartUnique/>
          </w:docPartObj>
        </w:sdtPr>
        <w:sdtContent>
          <w:p w14:paraId="1B111508" w14:textId="7390DAE8" w:rsidR="00CD1EA3" w:rsidRDefault="00CD1EA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F5B9C7" w14:textId="77777777" w:rsidR="00311360" w:rsidRDefault="00311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9DC70" w14:textId="77777777" w:rsidR="00704496" w:rsidRDefault="00704496" w:rsidP="007B01AB">
      <w:pPr>
        <w:spacing w:after="0" w:line="240" w:lineRule="auto"/>
      </w:pPr>
      <w:r>
        <w:separator/>
      </w:r>
    </w:p>
  </w:footnote>
  <w:footnote w:type="continuationSeparator" w:id="0">
    <w:p w14:paraId="0C8CEF81" w14:textId="77777777" w:rsidR="00704496" w:rsidRDefault="00704496" w:rsidP="007B0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428F" w14:textId="454DA260" w:rsidR="009A766E" w:rsidRPr="009A766E" w:rsidRDefault="009A766E">
    <w:pPr>
      <w:pStyle w:val="Header"/>
      <w:rPr>
        <w:color w:val="00B0F0"/>
      </w:rPr>
    </w:pPr>
    <w:r w:rsidRPr="009A766E">
      <w:rPr>
        <w:color w:val="00B0F0"/>
      </w:rPr>
      <w:t>[INSERT PROFESSIONAL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47D1"/>
    <w:multiLevelType w:val="hybridMultilevel"/>
    <w:tmpl w:val="A100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1810BA"/>
    <w:multiLevelType w:val="hybridMultilevel"/>
    <w:tmpl w:val="9FDC6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900331">
    <w:abstractNumId w:val="0"/>
  </w:num>
  <w:num w:numId="2" w16cid:durableId="12134940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 Dekar">
    <w15:presenceInfo w15:providerId="AD" w15:userId="S::Jdekar@desinobi.onmicrosoft.com::c91365dc-0d84-46a4-90f1-aa9ec5d790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B0"/>
    <w:rsid w:val="000028F7"/>
    <w:rsid w:val="00014B96"/>
    <w:rsid w:val="00024D3F"/>
    <w:rsid w:val="00026C2F"/>
    <w:rsid w:val="00031623"/>
    <w:rsid w:val="00033DF0"/>
    <w:rsid w:val="0003666E"/>
    <w:rsid w:val="00036F95"/>
    <w:rsid w:val="00050D15"/>
    <w:rsid w:val="00051DE5"/>
    <w:rsid w:val="0005628E"/>
    <w:rsid w:val="00057287"/>
    <w:rsid w:val="000601E5"/>
    <w:rsid w:val="0006123D"/>
    <w:rsid w:val="000622C6"/>
    <w:rsid w:val="00065E8A"/>
    <w:rsid w:val="000705B6"/>
    <w:rsid w:val="00071E70"/>
    <w:rsid w:val="000845A1"/>
    <w:rsid w:val="000A5057"/>
    <w:rsid w:val="000B03FC"/>
    <w:rsid w:val="000C7E40"/>
    <w:rsid w:val="000D50B0"/>
    <w:rsid w:val="000E1DFA"/>
    <w:rsid w:val="000E4FBA"/>
    <w:rsid w:val="000E63AF"/>
    <w:rsid w:val="001120AD"/>
    <w:rsid w:val="00156925"/>
    <w:rsid w:val="00172719"/>
    <w:rsid w:val="00172991"/>
    <w:rsid w:val="00186471"/>
    <w:rsid w:val="001872F0"/>
    <w:rsid w:val="00194D8E"/>
    <w:rsid w:val="001B36D6"/>
    <w:rsid w:val="001C3EA8"/>
    <w:rsid w:val="001D1477"/>
    <w:rsid w:val="001D606F"/>
    <w:rsid w:val="0020014A"/>
    <w:rsid w:val="0020630E"/>
    <w:rsid w:val="002249F6"/>
    <w:rsid w:val="002413B7"/>
    <w:rsid w:val="00242B28"/>
    <w:rsid w:val="00244B76"/>
    <w:rsid w:val="00245B92"/>
    <w:rsid w:val="00263A23"/>
    <w:rsid w:val="00275795"/>
    <w:rsid w:val="002830D0"/>
    <w:rsid w:val="002A0AC2"/>
    <w:rsid w:val="002B0237"/>
    <w:rsid w:val="002D32B4"/>
    <w:rsid w:val="002D4DF3"/>
    <w:rsid w:val="002F2900"/>
    <w:rsid w:val="002F2B0A"/>
    <w:rsid w:val="002F35A1"/>
    <w:rsid w:val="002F7BE8"/>
    <w:rsid w:val="003074FA"/>
    <w:rsid w:val="00311360"/>
    <w:rsid w:val="00317C42"/>
    <w:rsid w:val="00324640"/>
    <w:rsid w:val="003410A0"/>
    <w:rsid w:val="00343BD3"/>
    <w:rsid w:val="003470EA"/>
    <w:rsid w:val="00347F29"/>
    <w:rsid w:val="003513B1"/>
    <w:rsid w:val="00375388"/>
    <w:rsid w:val="003756D4"/>
    <w:rsid w:val="00381118"/>
    <w:rsid w:val="0039382D"/>
    <w:rsid w:val="003A0C6C"/>
    <w:rsid w:val="003A13BD"/>
    <w:rsid w:val="003C36B3"/>
    <w:rsid w:val="003D03CA"/>
    <w:rsid w:val="003E174C"/>
    <w:rsid w:val="00403AE5"/>
    <w:rsid w:val="00412860"/>
    <w:rsid w:val="00412CE2"/>
    <w:rsid w:val="00441BF2"/>
    <w:rsid w:val="00473803"/>
    <w:rsid w:val="004749F6"/>
    <w:rsid w:val="00476363"/>
    <w:rsid w:val="004A3887"/>
    <w:rsid w:val="004B28F4"/>
    <w:rsid w:val="004D63D6"/>
    <w:rsid w:val="004D7D60"/>
    <w:rsid w:val="004E61FE"/>
    <w:rsid w:val="004E79B0"/>
    <w:rsid w:val="004F2FEC"/>
    <w:rsid w:val="00501063"/>
    <w:rsid w:val="00515956"/>
    <w:rsid w:val="005317A1"/>
    <w:rsid w:val="00536111"/>
    <w:rsid w:val="00537AA0"/>
    <w:rsid w:val="00561D14"/>
    <w:rsid w:val="005A65F6"/>
    <w:rsid w:val="005B2CE3"/>
    <w:rsid w:val="005B2E74"/>
    <w:rsid w:val="005B537D"/>
    <w:rsid w:val="005B5D3B"/>
    <w:rsid w:val="005C4828"/>
    <w:rsid w:val="005E778C"/>
    <w:rsid w:val="0060043B"/>
    <w:rsid w:val="0063255D"/>
    <w:rsid w:val="00633D76"/>
    <w:rsid w:val="006451A7"/>
    <w:rsid w:val="00662EA1"/>
    <w:rsid w:val="00663783"/>
    <w:rsid w:val="006700CA"/>
    <w:rsid w:val="006804D1"/>
    <w:rsid w:val="00681912"/>
    <w:rsid w:val="006909EC"/>
    <w:rsid w:val="006B435E"/>
    <w:rsid w:val="006C6312"/>
    <w:rsid w:val="006D1021"/>
    <w:rsid w:val="006D278D"/>
    <w:rsid w:val="006D6780"/>
    <w:rsid w:val="007029A9"/>
    <w:rsid w:val="00703525"/>
    <w:rsid w:val="00704496"/>
    <w:rsid w:val="00706EEC"/>
    <w:rsid w:val="0071113F"/>
    <w:rsid w:val="007207F6"/>
    <w:rsid w:val="0072346B"/>
    <w:rsid w:val="00730DD5"/>
    <w:rsid w:val="007369E1"/>
    <w:rsid w:val="00754DFB"/>
    <w:rsid w:val="00756C3A"/>
    <w:rsid w:val="00756F13"/>
    <w:rsid w:val="007618B9"/>
    <w:rsid w:val="00761A46"/>
    <w:rsid w:val="00762F39"/>
    <w:rsid w:val="00764F15"/>
    <w:rsid w:val="00766249"/>
    <w:rsid w:val="00773A15"/>
    <w:rsid w:val="00774C51"/>
    <w:rsid w:val="007836AA"/>
    <w:rsid w:val="00791BCB"/>
    <w:rsid w:val="007A1208"/>
    <w:rsid w:val="007A4712"/>
    <w:rsid w:val="007B01AB"/>
    <w:rsid w:val="007C0FB1"/>
    <w:rsid w:val="007F1F52"/>
    <w:rsid w:val="007F2311"/>
    <w:rsid w:val="007F74BA"/>
    <w:rsid w:val="00825AB0"/>
    <w:rsid w:val="0083152C"/>
    <w:rsid w:val="008438FE"/>
    <w:rsid w:val="00845319"/>
    <w:rsid w:val="00855217"/>
    <w:rsid w:val="00864A6A"/>
    <w:rsid w:val="008A1C1A"/>
    <w:rsid w:val="008A2803"/>
    <w:rsid w:val="008C6F1C"/>
    <w:rsid w:val="008F12DD"/>
    <w:rsid w:val="009103C8"/>
    <w:rsid w:val="00931FF7"/>
    <w:rsid w:val="009337D9"/>
    <w:rsid w:val="009401F7"/>
    <w:rsid w:val="0094057A"/>
    <w:rsid w:val="009439D4"/>
    <w:rsid w:val="0095712D"/>
    <w:rsid w:val="00960187"/>
    <w:rsid w:val="00963278"/>
    <w:rsid w:val="009733A2"/>
    <w:rsid w:val="00975387"/>
    <w:rsid w:val="00976885"/>
    <w:rsid w:val="00982EF8"/>
    <w:rsid w:val="009866A1"/>
    <w:rsid w:val="009A1B97"/>
    <w:rsid w:val="009A3A50"/>
    <w:rsid w:val="009A731B"/>
    <w:rsid w:val="009A766E"/>
    <w:rsid w:val="009B41BD"/>
    <w:rsid w:val="009B4DD3"/>
    <w:rsid w:val="009C2AB6"/>
    <w:rsid w:val="009D5EE4"/>
    <w:rsid w:val="009D7F30"/>
    <w:rsid w:val="009E281D"/>
    <w:rsid w:val="009F0CFA"/>
    <w:rsid w:val="009F4771"/>
    <w:rsid w:val="009F4850"/>
    <w:rsid w:val="009F65DA"/>
    <w:rsid w:val="00A01617"/>
    <w:rsid w:val="00A01EE9"/>
    <w:rsid w:val="00A1307D"/>
    <w:rsid w:val="00A23A86"/>
    <w:rsid w:val="00A3254C"/>
    <w:rsid w:val="00A364EF"/>
    <w:rsid w:val="00A437A9"/>
    <w:rsid w:val="00A44D2F"/>
    <w:rsid w:val="00A465A9"/>
    <w:rsid w:val="00A52AC2"/>
    <w:rsid w:val="00A5674C"/>
    <w:rsid w:val="00A63AAD"/>
    <w:rsid w:val="00A87779"/>
    <w:rsid w:val="00A94AB8"/>
    <w:rsid w:val="00A976C0"/>
    <w:rsid w:val="00AA2072"/>
    <w:rsid w:val="00AA6E61"/>
    <w:rsid w:val="00AB06F5"/>
    <w:rsid w:val="00AB1F53"/>
    <w:rsid w:val="00AC0C96"/>
    <w:rsid w:val="00AE6358"/>
    <w:rsid w:val="00AF19F8"/>
    <w:rsid w:val="00AF1A96"/>
    <w:rsid w:val="00AF2727"/>
    <w:rsid w:val="00AF4AD8"/>
    <w:rsid w:val="00B2061E"/>
    <w:rsid w:val="00B24C1E"/>
    <w:rsid w:val="00B33042"/>
    <w:rsid w:val="00B336B3"/>
    <w:rsid w:val="00B34672"/>
    <w:rsid w:val="00B43AFB"/>
    <w:rsid w:val="00B5459D"/>
    <w:rsid w:val="00B57FCD"/>
    <w:rsid w:val="00B62961"/>
    <w:rsid w:val="00B723B2"/>
    <w:rsid w:val="00B872E5"/>
    <w:rsid w:val="00BB7E49"/>
    <w:rsid w:val="00BC3D38"/>
    <w:rsid w:val="00BC53AC"/>
    <w:rsid w:val="00BE0C66"/>
    <w:rsid w:val="00BE476C"/>
    <w:rsid w:val="00C01731"/>
    <w:rsid w:val="00C23B84"/>
    <w:rsid w:val="00C3400A"/>
    <w:rsid w:val="00C37F5E"/>
    <w:rsid w:val="00C41265"/>
    <w:rsid w:val="00C4580D"/>
    <w:rsid w:val="00C5244F"/>
    <w:rsid w:val="00C6278D"/>
    <w:rsid w:val="00C87D45"/>
    <w:rsid w:val="00CA4461"/>
    <w:rsid w:val="00CB6855"/>
    <w:rsid w:val="00CD1EA3"/>
    <w:rsid w:val="00CE0C1B"/>
    <w:rsid w:val="00CE3CBF"/>
    <w:rsid w:val="00D005CF"/>
    <w:rsid w:val="00D11C06"/>
    <w:rsid w:val="00D2363F"/>
    <w:rsid w:val="00D315FE"/>
    <w:rsid w:val="00D40C97"/>
    <w:rsid w:val="00D47BD9"/>
    <w:rsid w:val="00D6080D"/>
    <w:rsid w:val="00D63A15"/>
    <w:rsid w:val="00D7148F"/>
    <w:rsid w:val="00D75933"/>
    <w:rsid w:val="00D85D78"/>
    <w:rsid w:val="00D92DA6"/>
    <w:rsid w:val="00DA63E1"/>
    <w:rsid w:val="00DC2BB9"/>
    <w:rsid w:val="00DC3ADC"/>
    <w:rsid w:val="00DC4475"/>
    <w:rsid w:val="00DD0005"/>
    <w:rsid w:val="00DD1060"/>
    <w:rsid w:val="00DE657C"/>
    <w:rsid w:val="00DF2C34"/>
    <w:rsid w:val="00E0446D"/>
    <w:rsid w:val="00E23700"/>
    <w:rsid w:val="00E308B8"/>
    <w:rsid w:val="00E30FF7"/>
    <w:rsid w:val="00E3335A"/>
    <w:rsid w:val="00E34D74"/>
    <w:rsid w:val="00E3577B"/>
    <w:rsid w:val="00E45A98"/>
    <w:rsid w:val="00E46B60"/>
    <w:rsid w:val="00E46C51"/>
    <w:rsid w:val="00E713F9"/>
    <w:rsid w:val="00E74ADC"/>
    <w:rsid w:val="00E83AF0"/>
    <w:rsid w:val="00E90144"/>
    <w:rsid w:val="00E92C9A"/>
    <w:rsid w:val="00E9355A"/>
    <w:rsid w:val="00EB392B"/>
    <w:rsid w:val="00ED09D3"/>
    <w:rsid w:val="00EF02CE"/>
    <w:rsid w:val="00F11F10"/>
    <w:rsid w:val="00F17662"/>
    <w:rsid w:val="00F318B2"/>
    <w:rsid w:val="00F36738"/>
    <w:rsid w:val="00F736D7"/>
    <w:rsid w:val="00F75B80"/>
    <w:rsid w:val="00F92EDD"/>
    <w:rsid w:val="00F974F3"/>
    <w:rsid w:val="00FA65BC"/>
    <w:rsid w:val="00FB2E0A"/>
    <w:rsid w:val="00FB4F1A"/>
    <w:rsid w:val="00FC3548"/>
    <w:rsid w:val="00FD0527"/>
    <w:rsid w:val="00FD5361"/>
    <w:rsid w:val="00FF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48AC8"/>
  <w15:chartTrackingRefBased/>
  <w15:docId w15:val="{F2F10C29-ED67-4B09-82C9-6326F483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28E"/>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0B0"/>
    <w:rPr>
      <w:color w:val="666666"/>
    </w:rPr>
  </w:style>
  <w:style w:type="paragraph" w:styleId="Revision">
    <w:name w:val="Revision"/>
    <w:hidden/>
    <w:uiPriority w:val="99"/>
    <w:semiHidden/>
    <w:rsid w:val="00024D3F"/>
    <w:pPr>
      <w:spacing w:after="0" w:line="240" w:lineRule="auto"/>
    </w:pPr>
  </w:style>
  <w:style w:type="table" w:styleId="TableGrid">
    <w:name w:val="Table Grid"/>
    <w:basedOn w:val="TableNormal"/>
    <w:uiPriority w:val="39"/>
    <w:rsid w:val="0006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1208"/>
    <w:rPr>
      <w:sz w:val="16"/>
      <w:szCs w:val="16"/>
    </w:rPr>
  </w:style>
  <w:style w:type="paragraph" w:styleId="CommentText">
    <w:name w:val="annotation text"/>
    <w:basedOn w:val="Normal"/>
    <w:link w:val="CommentTextChar"/>
    <w:uiPriority w:val="99"/>
    <w:unhideWhenUsed/>
    <w:rsid w:val="007A1208"/>
    <w:pPr>
      <w:spacing w:line="240" w:lineRule="auto"/>
    </w:pPr>
    <w:rPr>
      <w:sz w:val="20"/>
      <w:szCs w:val="20"/>
    </w:rPr>
  </w:style>
  <w:style w:type="character" w:customStyle="1" w:styleId="CommentTextChar">
    <w:name w:val="Comment Text Char"/>
    <w:basedOn w:val="DefaultParagraphFont"/>
    <w:link w:val="CommentText"/>
    <w:uiPriority w:val="99"/>
    <w:rsid w:val="007A1208"/>
    <w:rPr>
      <w:sz w:val="20"/>
      <w:szCs w:val="20"/>
    </w:rPr>
  </w:style>
  <w:style w:type="paragraph" w:customStyle="1" w:styleId="Default">
    <w:name w:val="Default"/>
    <w:rsid w:val="0005628E"/>
    <w:pPr>
      <w:autoSpaceDE w:val="0"/>
      <w:autoSpaceDN w:val="0"/>
      <w:adjustRightInd w:val="0"/>
      <w:spacing w:after="0" w:line="240" w:lineRule="auto"/>
    </w:pPr>
    <w:rPr>
      <w:rFonts w:ascii="Arial" w:hAnsi="Arial" w:cs="Arial"/>
      <w:color w:val="000000"/>
      <w:kern w:val="0"/>
      <w:sz w:val="24"/>
      <w:szCs w:val="24"/>
    </w:rPr>
  </w:style>
  <w:style w:type="character" w:customStyle="1" w:styleId="Heading1Char">
    <w:name w:val="Heading 1 Char"/>
    <w:basedOn w:val="DefaultParagraphFont"/>
    <w:link w:val="Heading1"/>
    <w:uiPriority w:val="9"/>
    <w:rsid w:val="0005628E"/>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unhideWhenUsed/>
    <w:rsid w:val="0005628E"/>
  </w:style>
  <w:style w:type="paragraph" w:styleId="CommentSubject">
    <w:name w:val="annotation subject"/>
    <w:basedOn w:val="CommentText"/>
    <w:next w:val="CommentText"/>
    <w:link w:val="CommentSubjectChar"/>
    <w:uiPriority w:val="99"/>
    <w:semiHidden/>
    <w:unhideWhenUsed/>
    <w:rsid w:val="000B03FC"/>
    <w:rPr>
      <w:b/>
      <w:bCs/>
    </w:rPr>
  </w:style>
  <w:style w:type="character" w:customStyle="1" w:styleId="CommentSubjectChar">
    <w:name w:val="Comment Subject Char"/>
    <w:basedOn w:val="CommentTextChar"/>
    <w:link w:val="CommentSubject"/>
    <w:uiPriority w:val="99"/>
    <w:semiHidden/>
    <w:rsid w:val="000B03FC"/>
    <w:rPr>
      <w:b/>
      <w:bCs/>
      <w:sz w:val="20"/>
      <w:szCs w:val="20"/>
    </w:rPr>
  </w:style>
  <w:style w:type="paragraph" w:styleId="FootnoteText">
    <w:name w:val="footnote text"/>
    <w:basedOn w:val="Normal"/>
    <w:link w:val="FootnoteTextChar"/>
    <w:uiPriority w:val="99"/>
    <w:semiHidden/>
    <w:unhideWhenUsed/>
    <w:rsid w:val="007B01AB"/>
    <w:pPr>
      <w:spacing w:after="0" w:line="240" w:lineRule="auto"/>
    </w:pPr>
    <w:rPr>
      <w:rFonts w:ascii="Arial" w:hAnsi="Arial"/>
      <w:kern w:val="0"/>
      <w:sz w:val="20"/>
      <w:szCs w:val="20"/>
      <w14:ligatures w14:val="none"/>
    </w:rPr>
  </w:style>
  <w:style w:type="character" w:customStyle="1" w:styleId="FootnoteTextChar">
    <w:name w:val="Footnote Text Char"/>
    <w:basedOn w:val="DefaultParagraphFont"/>
    <w:link w:val="FootnoteText"/>
    <w:uiPriority w:val="99"/>
    <w:semiHidden/>
    <w:rsid w:val="007B01AB"/>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7B01AB"/>
    <w:rPr>
      <w:vertAlign w:val="superscript"/>
    </w:rPr>
  </w:style>
  <w:style w:type="paragraph" w:styleId="Header">
    <w:name w:val="header"/>
    <w:basedOn w:val="Normal"/>
    <w:link w:val="HeaderChar"/>
    <w:uiPriority w:val="99"/>
    <w:unhideWhenUsed/>
    <w:rsid w:val="00C52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44F"/>
  </w:style>
  <w:style w:type="paragraph" w:styleId="Footer">
    <w:name w:val="footer"/>
    <w:basedOn w:val="Normal"/>
    <w:link w:val="FooterChar"/>
    <w:uiPriority w:val="99"/>
    <w:unhideWhenUsed/>
    <w:rsid w:val="00C52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44F"/>
  </w:style>
  <w:style w:type="paragraph" w:styleId="Caption">
    <w:name w:val="caption"/>
    <w:basedOn w:val="Normal"/>
    <w:next w:val="Normal"/>
    <w:uiPriority w:val="35"/>
    <w:unhideWhenUsed/>
    <w:qFormat/>
    <w:rsid w:val="0083152C"/>
    <w:pPr>
      <w:spacing w:after="200" w:line="240" w:lineRule="auto"/>
    </w:pPr>
    <w:rPr>
      <w:i/>
      <w:iCs/>
      <w:color w:val="44546A" w:themeColor="text2"/>
      <w:sz w:val="18"/>
      <w:szCs w:val="18"/>
    </w:rPr>
  </w:style>
  <w:style w:type="paragraph" w:styleId="ListParagraph">
    <w:name w:val="List Paragraph"/>
    <w:basedOn w:val="Normal"/>
    <w:uiPriority w:val="34"/>
    <w:qFormat/>
    <w:rsid w:val="00A56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7500">
      <w:bodyDiv w:val="1"/>
      <w:marLeft w:val="0"/>
      <w:marRight w:val="0"/>
      <w:marTop w:val="0"/>
      <w:marBottom w:val="0"/>
      <w:divBdr>
        <w:top w:val="none" w:sz="0" w:space="0" w:color="auto"/>
        <w:left w:val="none" w:sz="0" w:space="0" w:color="auto"/>
        <w:bottom w:val="none" w:sz="0" w:space="0" w:color="auto"/>
        <w:right w:val="none" w:sz="0" w:space="0" w:color="auto"/>
      </w:divBdr>
    </w:div>
    <w:div w:id="140275211">
      <w:bodyDiv w:val="1"/>
      <w:marLeft w:val="0"/>
      <w:marRight w:val="0"/>
      <w:marTop w:val="0"/>
      <w:marBottom w:val="0"/>
      <w:divBdr>
        <w:top w:val="none" w:sz="0" w:space="0" w:color="auto"/>
        <w:left w:val="none" w:sz="0" w:space="0" w:color="auto"/>
        <w:bottom w:val="none" w:sz="0" w:space="0" w:color="auto"/>
        <w:right w:val="none" w:sz="0" w:space="0" w:color="auto"/>
      </w:divBdr>
    </w:div>
    <w:div w:id="173570778">
      <w:bodyDiv w:val="1"/>
      <w:marLeft w:val="0"/>
      <w:marRight w:val="0"/>
      <w:marTop w:val="0"/>
      <w:marBottom w:val="0"/>
      <w:divBdr>
        <w:top w:val="none" w:sz="0" w:space="0" w:color="auto"/>
        <w:left w:val="none" w:sz="0" w:space="0" w:color="auto"/>
        <w:bottom w:val="none" w:sz="0" w:space="0" w:color="auto"/>
        <w:right w:val="none" w:sz="0" w:space="0" w:color="auto"/>
      </w:divBdr>
    </w:div>
    <w:div w:id="211113300">
      <w:bodyDiv w:val="1"/>
      <w:marLeft w:val="0"/>
      <w:marRight w:val="0"/>
      <w:marTop w:val="0"/>
      <w:marBottom w:val="0"/>
      <w:divBdr>
        <w:top w:val="none" w:sz="0" w:space="0" w:color="auto"/>
        <w:left w:val="none" w:sz="0" w:space="0" w:color="auto"/>
        <w:bottom w:val="none" w:sz="0" w:space="0" w:color="auto"/>
        <w:right w:val="none" w:sz="0" w:space="0" w:color="auto"/>
      </w:divBdr>
    </w:div>
    <w:div w:id="214588595">
      <w:bodyDiv w:val="1"/>
      <w:marLeft w:val="0"/>
      <w:marRight w:val="0"/>
      <w:marTop w:val="0"/>
      <w:marBottom w:val="0"/>
      <w:divBdr>
        <w:top w:val="none" w:sz="0" w:space="0" w:color="auto"/>
        <w:left w:val="none" w:sz="0" w:space="0" w:color="auto"/>
        <w:bottom w:val="none" w:sz="0" w:space="0" w:color="auto"/>
        <w:right w:val="none" w:sz="0" w:space="0" w:color="auto"/>
      </w:divBdr>
    </w:div>
    <w:div w:id="234168178">
      <w:bodyDiv w:val="1"/>
      <w:marLeft w:val="0"/>
      <w:marRight w:val="0"/>
      <w:marTop w:val="0"/>
      <w:marBottom w:val="0"/>
      <w:divBdr>
        <w:top w:val="none" w:sz="0" w:space="0" w:color="auto"/>
        <w:left w:val="none" w:sz="0" w:space="0" w:color="auto"/>
        <w:bottom w:val="none" w:sz="0" w:space="0" w:color="auto"/>
        <w:right w:val="none" w:sz="0" w:space="0" w:color="auto"/>
      </w:divBdr>
    </w:div>
    <w:div w:id="299919449">
      <w:bodyDiv w:val="1"/>
      <w:marLeft w:val="0"/>
      <w:marRight w:val="0"/>
      <w:marTop w:val="0"/>
      <w:marBottom w:val="0"/>
      <w:divBdr>
        <w:top w:val="none" w:sz="0" w:space="0" w:color="auto"/>
        <w:left w:val="none" w:sz="0" w:space="0" w:color="auto"/>
        <w:bottom w:val="none" w:sz="0" w:space="0" w:color="auto"/>
        <w:right w:val="none" w:sz="0" w:space="0" w:color="auto"/>
      </w:divBdr>
    </w:div>
    <w:div w:id="330060757">
      <w:bodyDiv w:val="1"/>
      <w:marLeft w:val="0"/>
      <w:marRight w:val="0"/>
      <w:marTop w:val="0"/>
      <w:marBottom w:val="0"/>
      <w:divBdr>
        <w:top w:val="none" w:sz="0" w:space="0" w:color="auto"/>
        <w:left w:val="none" w:sz="0" w:space="0" w:color="auto"/>
        <w:bottom w:val="none" w:sz="0" w:space="0" w:color="auto"/>
        <w:right w:val="none" w:sz="0" w:space="0" w:color="auto"/>
      </w:divBdr>
    </w:div>
    <w:div w:id="348877747">
      <w:bodyDiv w:val="1"/>
      <w:marLeft w:val="0"/>
      <w:marRight w:val="0"/>
      <w:marTop w:val="0"/>
      <w:marBottom w:val="0"/>
      <w:divBdr>
        <w:top w:val="none" w:sz="0" w:space="0" w:color="auto"/>
        <w:left w:val="none" w:sz="0" w:space="0" w:color="auto"/>
        <w:bottom w:val="none" w:sz="0" w:space="0" w:color="auto"/>
        <w:right w:val="none" w:sz="0" w:space="0" w:color="auto"/>
      </w:divBdr>
    </w:div>
    <w:div w:id="386681740">
      <w:bodyDiv w:val="1"/>
      <w:marLeft w:val="0"/>
      <w:marRight w:val="0"/>
      <w:marTop w:val="0"/>
      <w:marBottom w:val="0"/>
      <w:divBdr>
        <w:top w:val="none" w:sz="0" w:space="0" w:color="auto"/>
        <w:left w:val="none" w:sz="0" w:space="0" w:color="auto"/>
        <w:bottom w:val="none" w:sz="0" w:space="0" w:color="auto"/>
        <w:right w:val="none" w:sz="0" w:space="0" w:color="auto"/>
      </w:divBdr>
    </w:div>
    <w:div w:id="453450654">
      <w:bodyDiv w:val="1"/>
      <w:marLeft w:val="0"/>
      <w:marRight w:val="0"/>
      <w:marTop w:val="0"/>
      <w:marBottom w:val="0"/>
      <w:divBdr>
        <w:top w:val="none" w:sz="0" w:space="0" w:color="auto"/>
        <w:left w:val="none" w:sz="0" w:space="0" w:color="auto"/>
        <w:bottom w:val="none" w:sz="0" w:space="0" w:color="auto"/>
        <w:right w:val="none" w:sz="0" w:space="0" w:color="auto"/>
      </w:divBdr>
    </w:div>
    <w:div w:id="461774688">
      <w:bodyDiv w:val="1"/>
      <w:marLeft w:val="0"/>
      <w:marRight w:val="0"/>
      <w:marTop w:val="0"/>
      <w:marBottom w:val="0"/>
      <w:divBdr>
        <w:top w:val="none" w:sz="0" w:space="0" w:color="auto"/>
        <w:left w:val="none" w:sz="0" w:space="0" w:color="auto"/>
        <w:bottom w:val="none" w:sz="0" w:space="0" w:color="auto"/>
        <w:right w:val="none" w:sz="0" w:space="0" w:color="auto"/>
      </w:divBdr>
    </w:div>
    <w:div w:id="462389155">
      <w:bodyDiv w:val="1"/>
      <w:marLeft w:val="0"/>
      <w:marRight w:val="0"/>
      <w:marTop w:val="0"/>
      <w:marBottom w:val="0"/>
      <w:divBdr>
        <w:top w:val="none" w:sz="0" w:space="0" w:color="auto"/>
        <w:left w:val="none" w:sz="0" w:space="0" w:color="auto"/>
        <w:bottom w:val="none" w:sz="0" w:space="0" w:color="auto"/>
        <w:right w:val="none" w:sz="0" w:space="0" w:color="auto"/>
      </w:divBdr>
    </w:div>
    <w:div w:id="470756341">
      <w:bodyDiv w:val="1"/>
      <w:marLeft w:val="0"/>
      <w:marRight w:val="0"/>
      <w:marTop w:val="0"/>
      <w:marBottom w:val="0"/>
      <w:divBdr>
        <w:top w:val="none" w:sz="0" w:space="0" w:color="auto"/>
        <w:left w:val="none" w:sz="0" w:space="0" w:color="auto"/>
        <w:bottom w:val="none" w:sz="0" w:space="0" w:color="auto"/>
        <w:right w:val="none" w:sz="0" w:space="0" w:color="auto"/>
      </w:divBdr>
    </w:div>
    <w:div w:id="482890672">
      <w:bodyDiv w:val="1"/>
      <w:marLeft w:val="0"/>
      <w:marRight w:val="0"/>
      <w:marTop w:val="0"/>
      <w:marBottom w:val="0"/>
      <w:divBdr>
        <w:top w:val="none" w:sz="0" w:space="0" w:color="auto"/>
        <w:left w:val="none" w:sz="0" w:space="0" w:color="auto"/>
        <w:bottom w:val="none" w:sz="0" w:space="0" w:color="auto"/>
        <w:right w:val="none" w:sz="0" w:space="0" w:color="auto"/>
      </w:divBdr>
    </w:div>
    <w:div w:id="530722446">
      <w:bodyDiv w:val="1"/>
      <w:marLeft w:val="0"/>
      <w:marRight w:val="0"/>
      <w:marTop w:val="0"/>
      <w:marBottom w:val="0"/>
      <w:divBdr>
        <w:top w:val="none" w:sz="0" w:space="0" w:color="auto"/>
        <w:left w:val="none" w:sz="0" w:space="0" w:color="auto"/>
        <w:bottom w:val="none" w:sz="0" w:space="0" w:color="auto"/>
        <w:right w:val="none" w:sz="0" w:space="0" w:color="auto"/>
      </w:divBdr>
    </w:div>
    <w:div w:id="550463902">
      <w:bodyDiv w:val="1"/>
      <w:marLeft w:val="0"/>
      <w:marRight w:val="0"/>
      <w:marTop w:val="0"/>
      <w:marBottom w:val="0"/>
      <w:divBdr>
        <w:top w:val="none" w:sz="0" w:space="0" w:color="auto"/>
        <w:left w:val="none" w:sz="0" w:space="0" w:color="auto"/>
        <w:bottom w:val="none" w:sz="0" w:space="0" w:color="auto"/>
        <w:right w:val="none" w:sz="0" w:space="0" w:color="auto"/>
      </w:divBdr>
    </w:div>
    <w:div w:id="606236914">
      <w:bodyDiv w:val="1"/>
      <w:marLeft w:val="0"/>
      <w:marRight w:val="0"/>
      <w:marTop w:val="0"/>
      <w:marBottom w:val="0"/>
      <w:divBdr>
        <w:top w:val="none" w:sz="0" w:space="0" w:color="auto"/>
        <w:left w:val="none" w:sz="0" w:space="0" w:color="auto"/>
        <w:bottom w:val="none" w:sz="0" w:space="0" w:color="auto"/>
        <w:right w:val="none" w:sz="0" w:space="0" w:color="auto"/>
      </w:divBdr>
    </w:div>
    <w:div w:id="613758036">
      <w:bodyDiv w:val="1"/>
      <w:marLeft w:val="0"/>
      <w:marRight w:val="0"/>
      <w:marTop w:val="0"/>
      <w:marBottom w:val="0"/>
      <w:divBdr>
        <w:top w:val="none" w:sz="0" w:space="0" w:color="auto"/>
        <w:left w:val="none" w:sz="0" w:space="0" w:color="auto"/>
        <w:bottom w:val="none" w:sz="0" w:space="0" w:color="auto"/>
        <w:right w:val="none" w:sz="0" w:space="0" w:color="auto"/>
      </w:divBdr>
    </w:div>
    <w:div w:id="649792285">
      <w:bodyDiv w:val="1"/>
      <w:marLeft w:val="0"/>
      <w:marRight w:val="0"/>
      <w:marTop w:val="0"/>
      <w:marBottom w:val="0"/>
      <w:divBdr>
        <w:top w:val="none" w:sz="0" w:space="0" w:color="auto"/>
        <w:left w:val="none" w:sz="0" w:space="0" w:color="auto"/>
        <w:bottom w:val="none" w:sz="0" w:space="0" w:color="auto"/>
        <w:right w:val="none" w:sz="0" w:space="0" w:color="auto"/>
      </w:divBdr>
    </w:div>
    <w:div w:id="660162767">
      <w:bodyDiv w:val="1"/>
      <w:marLeft w:val="0"/>
      <w:marRight w:val="0"/>
      <w:marTop w:val="0"/>
      <w:marBottom w:val="0"/>
      <w:divBdr>
        <w:top w:val="none" w:sz="0" w:space="0" w:color="auto"/>
        <w:left w:val="none" w:sz="0" w:space="0" w:color="auto"/>
        <w:bottom w:val="none" w:sz="0" w:space="0" w:color="auto"/>
        <w:right w:val="none" w:sz="0" w:space="0" w:color="auto"/>
      </w:divBdr>
    </w:div>
    <w:div w:id="669793177">
      <w:bodyDiv w:val="1"/>
      <w:marLeft w:val="0"/>
      <w:marRight w:val="0"/>
      <w:marTop w:val="0"/>
      <w:marBottom w:val="0"/>
      <w:divBdr>
        <w:top w:val="none" w:sz="0" w:space="0" w:color="auto"/>
        <w:left w:val="none" w:sz="0" w:space="0" w:color="auto"/>
        <w:bottom w:val="none" w:sz="0" w:space="0" w:color="auto"/>
        <w:right w:val="none" w:sz="0" w:space="0" w:color="auto"/>
      </w:divBdr>
    </w:div>
    <w:div w:id="671028561">
      <w:bodyDiv w:val="1"/>
      <w:marLeft w:val="0"/>
      <w:marRight w:val="0"/>
      <w:marTop w:val="0"/>
      <w:marBottom w:val="0"/>
      <w:divBdr>
        <w:top w:val="none" w:sz="0" w:space="0" w:color="auto"/>
        <w:left w:val="none" w:sz="0" w:space="0" w:color="auto"/>
        <w:bottom w:val="none" w:sz="0" w:space="0" w:color="auto"/>
        <w:right w:val="none" w:sz="0" w:space="0" w:color="auto"/>
      </w:divBdr>
    </w:div>
    <w:div w:id="671488653">
      <w:bodyDiv w:val="1"/>
      <w:marLeft w:val="0"/>
      <w:marRight w:val="0"/>
      <w:marTop w:val="0"/>
      <w:marBottom w:val="0"/>
      <w:divBdr>
        <w:top w:val="none" w:sz="0" w:space="0" w:color="auto"/>
        <w:left w:val="none" w:sz="0" w:space="0" w:color="auto"/>
        <w:bottom w:val="none" w:sz="0" w:space="0" w:color="auto"/>
        <w:right w:val="none" w:sz="0" w:space="0" w:color="auto"/>
      </w:divBdr>
    </w:div>
    <w:div w:id="765923833">
      <w:bodyDiv w:val="1"/>
      <w:marLeft w:val="0"/>
      <w:marRight w:val="0"/>
      <w:marTop w:val="0"/>
      <w:marBottom w:val="0"/>
      <w:divBdr>
        <w:top w:val="none" w:sz="0" w:space="0" w:color="auto"/>
        <w:left w:val="none" w:sz="0" w:space="0" w:color="auto"/>
        <w:bottom w:val="none" w:sz="0" w:space="0" w:color="auto"/>
        <w:right w:val="none" w:sz="0" w:space="0" w:color="auto"/>
      </w:divBdr>
    </w:div>
    <w:div w:id="783499221">
      <w:bodyDiv w:val="1"/>
      <w:marLeft w:val="0"/>
      <w:marRight w:val="0"/>
      <w:marTop w:val="0"/>
      <w:marBottom w:val="0"/>
      <w:divBdr>
        <w:top w:val="none" w:sz="0" w:space="0" w:color="auto"/>
        <w:left w:val="none" w:sz="0" w:space="0" w:color="auto"/>
        <w:bottom w:val="none" w:sz="0" w:space="0" w:color="auto"/>
        <w:right w:val="none" w:sz="0" w:space="0" w:color="auto"/>
      </w:divBdr>
    </w:div>
    <w:div w:id="812453678">
      <w:bodyDiv w:val="1"/>
      <w:marLeft w:val="0"/>
      <w:marRight w:val="0"/>
      <w:marTop w:val="0"/>
      <w:marBottom w:val="0"/>
      <w:divBdr>
        <w:top w:val="none" w:sz="0" w:space="0" w:color="auto"/>
        <w:left w:val="none" w:sz="0" w:space="0" w:color="auto"/>
        <w:bottom w:val="none" w:sz="0" w:space="0" w:color="auto"/>
        <w:right w:val="none" w:sz="0" w:space="0" w:color="auto"/>
      </w:divBdr>
    </w:div>
    <w:div w:id="843201510">
      <w:bodyDiv w:val="1"/>
      <w:marLeft w:val="0"/>
      <w:marRight w:val="0"/>
      <w:marTop w:val="0"/>
      <w:marBottom w:val="0"/>
      <w:divBdr>
        <w:top w:val="none" w:sz="0" w:space="0" w:color="auto"/>
        <w:left w:val="none" w:sz="0" w:space="0" w:color="auto"/>
        <w:bottom w:val="none" w:sz="0" w:space="0" w:color="auto"/>
        <w:right w:val="none" w:sz="0" w:space="0" w:color="auto"/>
      </w:divBdr>
    </w:div>
    <w:div w:id="861016996">
      <w:bodyDiv w:val="1"/>
      <w:marLeft w:val="0"/>
      <w:marRight w:val="0"/>
      <w:marTop w:val="0"/>
      <w:marBottom w:val="0"/>
      <w:divBdr>
        <w:top w:val="none" w:sz="0" w:space="0" w:color="auto"/>
        <w:left w:val="none" w:sz="0" w:space="0" w:color="auto"/>
        <w:bottom w:val="none" w:sz="0" w:space="0" w:color="auto"/>
        <w:right w:val="none" w:sz="0" w:space="0" w:color="auto"/>
      </w:divBdr>
    </w:div>
    <w:div w:id="897975638">
      <w:bodyDiv w:val="1"/>
      <w:marLeft w:val="0"/>
      <w:marRight w:val="0"/>
      <w:marTop w:val="0"/>
      <w:marBottom w:val="0"/>
      <w:divBdr>
        <w:top w:val="none" w:sz="0" w:space="0" w:color="auto"/>
        <w:left w:val="none" w:sz="0" w:space="0" w:color="auto"/>
        <w:bottom w:val="none" w:sz="0" w:space="0" w:color="auto"/>
        <w:right w:val="none" w:sz="0" w:space="0" w:color="auto"/>
      </w:divBdr>
    </w:div>
    <w:div w:id="930241560">
      <w:bodyDiv w:val="1"/>
      <w:marLeft w:val="0"/>
      <w:marRight w:val="0"/>
      <w:marTop w:val="0"/>
      <w:marBottom w:val="0"/>
      <w:divBdr>
        <w:top w:val="none" w:sz="0" w:space="0" w:color="auto"/>
        <w:left w:val="none" w:sz="0" w:space="0" w:color="auto"/>
        <w:bottom w:val="none" w:sz="0" w:space="0" w:color="auto"/>
        <w:right w:val="none" w:sz="0" w:space="0" w:color="auto"/>
      </w:divBdr>
    </w:div>
    <w:div w:id="1003122662">
      <w:bodyDiv w:val="1"/>
      <w:marLeft w:val="0"/>
      <w:marRight w:val="0"/>
      <w:marTop w:val="0"/>
      <w:marBottom w:val="0"/>
      <w:divBdr>
        <w:top w:val="none" w:sz="0" w:space="0" w:color="auto"/>
        <w:left w:val="none" w:sz="0" w:space="0" w:color="auto"/>
        <w:bottom w:val="none" w:sz="0" w:space="0" w:color="auto"/>
        <w:right w:val="none" w:sz="0" w:space="0" w:color="auto"/>
      </w:divBdr>
    </w:div>
    <w:div w:id="1074745454">
      <w:bodyDiv w:val="1"/>
      <w:marLeft w:val="0"/>
      <w:marRight w:val="0"/>
      <w:marTop w:val="0"/>
      <w:marBottom w:val="0"/>
      <w:divBdr>
        <w:top w:val="none" w:sz="0" w:space="0" w:color="auto"/>
        <w:left w:val="none" w:sz="0" w:space="0" w:color="auto"/>
        <w:bottom w:val="none" w:sz="0" w:space="0" w:color="auto"/>
        <w:right w:val="none" w:sz="0" w:space="0" w:color="auto"/>
      </w:divBdr>
    </w:div>
    <w:div w:id="1075399596">
      <w:bodyDiv w:val="1"/>
      <w:marLeft w:val="0"/>
      <w:marRight w:val="0"/>
      <w:marTop w:val="0"/>
      <w:marBottom w:val="0"/>
      <w:divBdr>
        <w:top w:val="none" w:sz="0" w:space="0" w:color="auto"/>
        <w:left w:val="none" w:sz="0" w:space="0" w:color="auto"/>
        <w:bottom w:val="none" w:sz="0" w:space="0" w:color="auto"/>
        <w:right w:val="none" w:sz="0" w:space="0" w:color="auto"/>
      </w:divBdr>
    </w:div>
    <w:div w:id="1105733703">
      <w:bodyDiv w:val="1"/>
      <w:marLeft w:val="0"/>
      <w:marRight w:val="0"/>
      <w:marTop w:val="0"/>
      <w:marBottom w:val="0"/>
      <w:divBdr>
        <w:top w:val="none" w:sz="0" w:space="0" w:color="auto"/>
        <w:left w:val="none" w:sz="0" w:space="0" w:color="auto"/>
        <w:bottom w:val="none" w:sz="0" w:space="0" w:color="auto"/>
        <w:right w:val="none" w:sz="0" w:space="0" w:color="auto"/>
      </w:divBdr>
    </w:div>
    <w:div w:id="1152328502">
      <w:bodyDiv w:val="1"/>
      <w:marLeft w:val="0"/>
      <w:marRight w:val="0"/>
      <w:marTop w:val="0"/>
      <w:marBottom w:val="0"/>
      <w:divBdr>
        <w:top w:val="none" w:sz="0" w:space="0" w:color="auto"/>
        <w:left w:val="none" w:sz="0" w:space="0" w:color="auto"/>
        <w:bottom w:val="none" w:sz="0" w:space="0" w:color="auto"/>
        <w:right w:val="none" w:sz="0" w:space="0" w:color="auto"/>
      </w:divBdr>
    </w:div>
    <w:div w:id="1190486141">
      <w:bodyDiv w:val="1"/>
      <w:marLeft w:val="0"/>
      <w:marRight w:val="0"/>
      <w:marTop w:val="0"/>
      <w:marBottom w:val="0"/>
      <w:divBdr>
        <w:top w:val="none" w:sz="0" w:space="0" w:color="auto"/>
        <w:left w:val="none" w:sz="0" w:space="0" w:color="auto"/>
        <w:bottom w:val="none" w:sz="0" w:space="0" w:color="auto"/>
        <w:right w:val="none" w:sz="0" w:space="0" w:color="auto"/>
      </w:divBdr>
    </w:div>
    <w:div w:id="1205413508">
      <w:bodyDiv w:val="1"/>
      <w:marLeft w:val="0"/>
      <w:marRight w:val="0"/>
      <w:marTop w:val="0"/>
      <w:marBottom w:val="0"/>
      <w:divBdr>
        <w:top w:val="none" w:sz="0" w:space="0" w:color="auto"/>
        <w:left w:val="none" w:sz="0" w:space="0" w:color="auto"/>
        <w:bottom w:val="none" w:sz="0" w:space="0" w:color="auto"/>
        <w:right w:val="none" w:sz="0" w:space="0" w:color="auto"/>
      </w:divBdr>
    </w:div>
    <w:div w:id="1242132330">
      <w:bodyDiv w:val="1"/>
      <w:marLeft w:val="0"/>
      <w:marRight w:val="0"/>
      <w:marTop w:val="0"/>
      <w:marBottom w:val="0"/>
      <w:divBdr>
        <w:top w:val="none" w:sz="0" w:space="0" w:color="auto"/>
        <w:left w:val="none" w:sz="0" w:space="0" w:color="auto"/>
        <w:bottom w:val="none" w:sz="0" w:space="0" w:color="auto"/>
        <w:right w:val="none" w:sz="0" w:space="0" w:color="auto"/>
      </w:divBdr>
    </w:div>
    <w:div w:id="1243300592">
      <w:bodyDiv w:val="1"/>
      <w:marLeft w:val="0"/>
      <w:marRight w:val="0"/>
      <w:marTop w:val="0"/>
      <w:marBottom w:val="0"/>
      <w:divBdr>
        <w:top w:val="none" w:sz="0" w:space="0" w:color="auto"/>
        <w:left w:val="none" w:sz="0" w:space="0" w:color="auto"/>
        <w:bottom w:val="none" w:sz="0" w:space="0" w:color="auto"/>
        <w:right w:val="none" w:sz="0" w:space="0" w:color="auto"/>
      </w:divBdr>
    </w:div>
    <w:div w:id="1311516874">
      <w:bodyDiv w:val="1"/>
      <w:marLeft w:val="0"/>
      <w:marRight w:val="0"/>
      <w:marTop w:val="0"/>
      <w:marBottom w:val="0"/>
      <w:divBdr>
        <w:top w:val="none" w:sz="0" w:space="0" w:color="auto"/>
        <w:left w:val="none" w:sz="0" w:space="0" w:color="auto"/>
        <w:bottom w:val="none" w:sz="0" w:space="0" w:color="auto"/>
        <w:right w:val="none" w:sz="0" w:space="0" w:color="auto"/>
      </w:divBdr>
    </w:div>
    <w:div w:id="1343166020">
      <w:bodyDiv w:val="1"/>
      <w:marLeft w:val="0"/>
      <w:marRight w:val="0"/>
      <w:marTop w:val="0"/>
      <w:marBottom w:val="0"/>
      <w:divBdr>
        <w:top w:val="none" w:sz="0" w:space="0" w:color="auto"/>
        <w:left w:val="none" w:sz="0" w:space="0" w:color="auto"/>
        <w:bottom w:val="none" w:sz="0" w:space="0" w:color="auto"/>
        <w:right w:val="none" w:sz="0" w:space="0" w:color="auto"/>
      </w:divBdr>
    </w:div>
    <w:div w:id="1364088500">
      <w:bodyDiv w:val="1"/>
      <w:marLeft w:val="0"/>
      <w:marRight w:val="0"/>
      <w:marTop w:val="0"/>
      <w:marBottom w:val="0"/>
      <w:divBdr>
        <w:top w:val="none" w:sz="0" w:space="0" w:color="auto"/>
        <w:left w:val="none" w:sz="0" w:space="0" w:color="auto"/>
        <w:bottom w:val="none" w:sz="0" w:space="0" w:color="auto"/>
        <w:right w:val="none" w:sz="0" w:space="0" w:color="auto"/>
      </w:divBdr>
    </w:div>
    <w:div w:id="1379040640">
      <w:bodyDiv w:val="1"/>
      <w:marLeft w:val="0"/>
      <w:marRight w:val="0"/>
      <w:marTop w:val="0"/>
      <w:marBottom w:val="0"/>
      <w:divBdr>
        <w:top w:val="none" w:sz="0" w:space="0" w:color="auto"/>
        <w:left w:val="none" w:sz="0" w:space="0" w:color="auto"/>
        <w:bottom w:val="none" w:sz="0" w:space="0" w:color="auto"/>
        <w:right w:val="none" w:sz="0" w:space="0" w:color="auto"/>
      </w:divBdr>
    </w:div>
    <w:div w:id="1395547565">
      <w:bodyDiv w:val="1"/>
      <w:marLeft w:val="0"/>
      <w:marRight w:val="0"/>
      <w:marTop w:val="0"/>
      <w:marBottom w:val="0"/>
      <w:divBdr>
        <w:top w:val="none" w:sz="0" w:space="0" w:color="auto"/>
        <w:left w:val="none" w:sz="0" w:space="0" w:color="auto"/>
        <w:bottom w:val="none" w:sz="0" w:space="0" w:color="auto"/>
        <w:right w:val="none" w:sz="0" w:space="0" w:color="auto"/>
      </w:divBdr>
    </w:div>
    <w:div w:id="1415012466">
      <w:bodyDiv w:val="1"/>
      <w:marLeft w:val="0"/>
      <w:marRight w:val="0"/>
      <w:marTop w:val="0"/>
      <w:marBottom w:val="0"/>
      <w:divBdr>
        <w:top w:val="none" w:sz="0" w:space="0" w:color="auto"/>
        <w:left w:val="none" w:sz="0" w:space="0" w:color="auto"/>
        <w:bottom w:val="none" w:sz="0" w:space="0" w:color="auto"/>
        <w:right w:val="none" w:sz="0" w:space="0" w:color="auto"/>
      </w:divBdr>
    </w:div>
    <w:div w:id="1434278323">
      <w:bodyDiv w:val="1"/>
      <w:marLeft w:val="0"/>
      <w:marRight w:val="0"/>
      <w:marTop w:val="0"/>
      <w:marBottom w:val="0"/>
      <w:divBdr>
        <w:top w:val="none" w:sz="0" w:space="0" w:color="auto"/>
        <w:left w:val="none" w:sz="0" w:space="0" w:color="auto"/>
        <w:bottom w:val="none" w:sz="0" w:space="0" w:color="auto"/>
        <w:right w:val="none" w:sz="0" w:space="0" w:color="auto"/>
      </w:divBdr>
    </w:div>
    <w:div w:id="1437872439">
      <w:bodyDiv w:val="1"/>
      <w:marLeft w:val="0"/>
      <w:marRight w:val="0"/>
      <w:marTop w:val="0"/>
      <w:marBottom w:val="0"/>
      <w:divBdr>
        <w:top w:val="none" w:sz="0" w:space="0" w:color="auto"/>
        <w:left w:val="none" w:sz="0" w:space="0" w:color="auto"/>
        <w:bottom w:val="none" w:sz="0" w:space="0" w:color="auto"/>
        <w:right w:val="none" w:sz="0" w:space="0" w:color="auto"/>
      </w:divBdr>
    </w:div>
    <w:div w:id="1441993994">
      <w:bodyDiv w:val="1"/>
      <w:marLeft w:val="0"/>
      <w:marRight w:val="0"/>
      <w:marTop w:val="0"/>
      <w:marBottom w:val="0"/>
      <w:divBdr>
        <w:top w:val="none" w:sz="0" w:space="0" w:color="auto"/>
        <w:left w:val="none" w:sz="0" w:space="0" w:color="auto"/>
        <w:bottom w:val="none" w:sz="0" w:space="0" w:color="auto"/>
        <w:right w:val="none" w:sz="0" w:space="0" w:color="auto"/>
      </w:divBdr>
    </w:div>
    <w:div w:id="1449666989">
      <w:bodyDiv w:val="1"/>
      <w:marLeft w:val="0"/>
      <w:marRight w:val="0"/>
      <w:marTop w:val="0"/>
      <w:marBottom w:val="0"/>
      <w:divBdr>
        <w:top w:val="none" w:sz="0" w:space="0" w:color="auto"/>
        <w:left w:val="none" w:sz="0" w:space="0" w:color="auto"/>
        <w:bottom w:val="none" w:sz="0" w:space="0" w:color="auto"/>
        <w:right w:val="none" w:sz="0" w:space="0" w:color="auto"/>
      </w:divBdr>
    </w:div>
    <w:div w:id="1498571544">
      <w:bodyDiv w:val="1"/>
      <w:marLeft w:val="0"/>
      <w:marRight w:val="0"/>
      <w:marTop w:val="0"/>
      <w:marBottom w:val="0"/>
      <w:divBdr>
        <w:top w:val="none" w:sz="0" w:space="0" w:color="auto"/>
        <w:left w:val="none" w:sz="0" w:space="0" w:color="auto"/>
        <w:bottom w:val="none" w:sz="0" w:space="0" w:color="auto"/>
        <w:right w:val="none" w:sz="0" w:space="0" w:color="auto"/>
      </w:divBdr>
    </w:div>
    <w:div w:id="1513884572">
      <w:bodyDiv w:val="1"/>
      <w:marLeft w:val="0"/>
      <w:marRight w:val="0"/>
      <w:marTop w:val="0"/>
      <w:marBottom w:val="0"/>
      <w:divBdr>
        <w:top w:val="none" w:sz="0" w:space="0" w:color="auto"/>
        <w:left w:val="none" w:sz="0" w:space="0" w:color="auto"/>
        <w:bottom w:val="none" w:sz="0" w:space="0" w:color="auto"/>
        <w:right w:val="none" w:sz="0" w:space="0" w:color="auto"/>
      </w:divBdr>
    </w:div>
    <w:div w:id="1521504869">
      <w:bodyDiv w:val="1"/>
      <w:marLeft w:val="0"/>
      <w:marRight w:val="0"/>
      <w:marTop w:val="0"/>
      <w:marBottom w:val="0"/>
      <w:divBdr>
        <w:top w:val="none" w:sz="0" w:space="0" w:color="auto"/>
        <w:left w:val="none" w:sz="0" w:space="0" w:color="auto"/>
        <w:bottom w:val="none" w:sz="0" w:space="0" w:color="auto"/>
        <w:right w:val="none" w:sz="0" w:space="0" w:color="auto"/>
      </w:divBdr>
    </w:div>
    <w:div w:id="1542283525">
      <w:bodyDiv w:val="1"/>
      <w:marLeft w:val="0"/>
      <w:marRight w:val="0"/>
      <w:marTop w:val="0"/>
      <w:marBottom w:val="0"/>
      <w:divBdr>
        <w:top w:val="none" w:sz="0" w:space="0" w:color="auto"/>
        <w:left w:val="none" w:sz="0" w:space="0" w:color="auto"/>
        <w:bottom w:val="none" w:sz="0" w:space="0" w:color="auto"/>
        <w:right w:val="none" w:sz="0" w:space="0" w:color="auto"/>
      </w:divBdr>
    </w:div>
    <w:div w:id="1560047151">
      <w:bodyDiv w:val="1"/>
      <w:marLeft w:val="0"/>
      <w:marRight w:val="0"/>
      <w:marTop w:val="0"/>
      <w:marBottom w:val="0"/>
      <w:divBdr>
        <w:top w:val="none" w:sz="0" w:space="0" w:color="auto"/>
        <w:left w:val="none" w:sz="0" w:space="0" w:color="auto"/>
        <w:bottom w:val="none" w:sz="0" w:space="0" w:color="auto"/>
        <w:right w:val="none" w:sz="0" w:space="0" w:color="auto"/>
      </w:divBdr>
    </w:div>
    <w:div w:id="1586108037">
      <w:bodyDiv w:val="1"/>
      <w:marLeft w:val="0"/>
      <w:marRight w:val="0"/>
      <w:marTop w:val="0"/>
      <w:marBottom w:val="0"/>
      <w:divBdr>
        <w:top w:val="none" w:sz="0" w:space="0" w:color="auto"/>
        <w:left w:val="none" w:sz="0" w:space="0" w:color="auto"/>
        <w:bottom w:val="none" w:sz="0" w:space="0" w:color="auto"/>
        <w:right w:val="none" w:sz="0" w:space="0" w:color="auto"/>
      </w:divBdr>
    </w:div>
    <w:div w:id="1611428750">
      <w:bodyDiv w:val="1"/>
      <w:marLeft w:val="0"/>
      <w:marRight w:val="0"/>
      <w:marTop w:val="0"/>
      <w:marBottom w:val="0"/>
      <w:divBdr>
        <w:top w:val="none" w:sz="0" w:space="0" w:color="auto"/>
        <w:left w:val="none" w:sz="0" w:space="0" w:color="auto"/>
        <w:bottom w:val="none" w:sz="0" w:space="0" w:color="auto"/>
        <w:right w:val="none" w:sz="0" w:space="0" w:color="auto"/>
      </w:divBdr>
    </w:div>
    <w:div w:id="1680622609">
      <w:bodyDiv w:val="1"/>
      <w:marLeft w:val="0"/>
      <w:marRight w:val="0"/>
      <w:marTop w:val="0"/>
      <w:marBottom w:val="0"/>
      <w:divBdr>
        <w:top w:val="none" w:sz="0" w:space="0" w:color="auto"/>
        <w:left w:val="none" w:sz="0" w:space="0" w:color="auto"/>
        <w:bottom w:val="none" w:sz="0" w:space="0" w:color="auto"/>
        <w:right w:val="none" w:sz="0" w:space="0" w:color="auto"/>
      </w:divBdr>
    </w:div>
    <w:div w:id="1731997850">
      <w:bodyDiv w:val="1"/>
      <w:marLeft w:val="0"/>
      <w:marRight w:val="0"/>
      <w:marTop w:val="0"/>
      <w:marBottom w:val="0"/>
      <w:divBdr>
        <w:top w:val="none" w:sz="0" w:space="0" w:color="auto"/>
        <w:left w:val="none" w:sz="0" w:space="0" w:color="auto"/>
        <w:bottom w:val="none" w:sz="0" w:space="0" w:color="auto"/>
        <w:right w:val="none" w:sz="0" w:space="0" w:color="auto"/>
      </w:divBdr>
    </w:div>
    <w:div w:id="1757940270">
      <w:bodyDiv w:val="1"/>
      <w:marLeft w:val="0"/>
      <w:marRight w:val="0"/>
      <w:marTop w:val="0"/>
      <w:marBottom w:val="0"/>
      <w:divBdr>
        <w:top w:val="none" w:sz="0" w:space="0" w:color="auto"/>
        <w:left w:val="none" w:sz="0" w:space="0" w:color="auto"/>
        <w:bottom w:val="none" w:sz="0" w:space="0" w:color="auto"/>
        <w:right w:val="none" w:sz="0" w:space="0" w:color="auto"/>
      </w:divBdr>
    </w:div>
    <w:div w:id="1839691024">
      <w:bodyDiv w:val="1"/>
      <w:marLeft w:val="0"/>
      <w:marRight w:val="0"/>
      <w:marTop w:val="0"/>
      <w:marBottom w:val="0"/>
      <w:divBdr>
        <w:top w:val="none" w:sz="0" w:space="0" w:color="auto"/>
        <w:left w:val="none" w:sz="0" w:space="0" w:color="auto"/>
        <w:bottom w:val="none" w:sz="0" w:space="0" w:color="auto"/>
        <w:right w:val="none" w:sz="0" w:space="0" w:color="auto"/>
      </w:divBdr>
    </w:div>
    <w:div w:id="1852987167">
      <w:bodyDiv w:val="1"/>
      <w:marLeft w:val="0"/>
      <w:marRight w:val="0"/>
      <w:marTop w:val="0"/>
      <w:marBottom w:val="0"/>
      <w:divBdr>
        <w:top w:val="none" w:sz="0" w:space="0" w:color="auto"/>
        <w:left w:val="none" w:sz="0" w:space="0" w:color="auto"/>
        <w:bottom w:val="none" w:sz="0" w:space="0" w:color="auto"/>
        <w:right w:val="none" w:sz="0" w:space="0" w:color="auto"/>
      </w:divBdr>
    </w:div>
    <w:div w:id="1867712177">
      <w:bodyDiv w:val="1"/>
      <w:marLeft w:val="0"/>
      <w:marRight w:val="0"/>
      <w:marTop w:val="0"/>
      <w:marBottom w:val="0"/>
      <w:divBdr>
        <w:top w:val="none" w:sz="0" w:space="0" w:color="auto"/>
        <w:left w:val="none" w:sz="0" w:space="0" w:color="auto"/>
        <w:bottom w:val="none" w:sz="0" w:space="0" w:color="auto"/>
        <w:right w:val="none" w:sz="0" w:space="0" w:color="auto"/>
      </w:divBdr>
    </w:div>
    <w:div w:id="1910649053">
      <w:bodyDiv w:val="1"/>
      <w:marLeft w:val="0"/>
      <w:marRight w:val="0"/>
      <w:marTop w:val="0"/>
      <w:marBottom w:val="0"/>
      <w:divBdr>
        <w:top w:val="none" w:sz="0" w:space="0" w:color="auto"/>
        <w:left w:val="none" w:sz="0" w:space="0" w:color="auto"/>
        <w:bottom w:val="none" w:sz="0" w:space="0" w:color="auto"/>
        <w:right w:val="none" w:sz="0" w:space="0" w:color="auto"/>
      </w:divBdr>
    </w:div>
    <w:div w:id="1955090226">
      <w:bodyDiv w:val="1"/>
      <w:marLeft w:val="0"/>
      <w:marRight w:val="0"/>
      <w:marTop w:val="0"/>
      <w:marBottom w:val="0"/>
      <w:divBdr>
        <w:top w:val="none" w:sz="0" w:space="0" w:color="auto"/>
        <w:left w:val="none" w:sz="0" w:space="0" w:color="auto"/>
        <w:bottom w:val="none" w:sz="0" w:space="0" w:color="auto"/>
        <w:right w:val="none" w:sz="0" w:space="0" w:color="auto"/>
      </w:divBdr>
    </w:div>
    <w:div w:id="2032949572">
      <w:bodyDiv w:val="1"/>
      <w:marLeft w:val="0"/>
      <w:marRight w:val="0"/>
      <w:marTop w:val="0"/>
      <w:marBottom w:val="0"/>
      <w:divBdr>
        <w:top w:val="none" w:sz="0" w:space="0" w:color="auto"/>
        <w:left w:val="none" w:sz="0" w:space="0" w:color="auto"/>
        <w:bottom w:val="none" w:sz="0" w:space="0" w:color="auto"/>
        <w:right w:val="none" w:sz="0" w:space="0" w:color="auto"/>
      </w:divBdr>
    </w:div>
    <w:div w:id="2046559395">
      <w:bodyDiv w:val="1"/>
      <w:marLeft w:val="0"/>
      <w:marRight w:val="0"/>
      <w:marTop w:val="0"/>
      <w:marBottom w:val="0"/>
      <w:divBdr>
        <w:top w:val="none" w:sz="0" w:space="0" w:color="auto"/>
        <w:left w:val="none" w:sz="0" w:space="0" w:color="auto"/>
        <w:bottom w:val="none" w:sz="0" w:space="0" w:color="auto"/>
        <w:right w:val="none" w:sz="0" w:space="0" w:color="auto"/>
      </w:divBdr>
    </w:div>
    <w:div w:id="2050911674">
      <w:bodyDiv w:val="1"/>
      <w:marLeft w:val="0"/>
      <w:marRight w:val="0"/>
      <w:marTop w:val="0"/>
      <w:marBottom w:val="0"/>
      <w:divBdr>
        <w:top w:val="none" w:sz="0" w:space="0" w:color="auto"/>
        <w:left w:val="none" w:sz="0" w:space="0" w:color="auto"/>
        <w:bottom w:val="none" w:sz="0" w:space="0" w:color="auto"/>
        <w:right w:val="none" w:sz="0" w:space="0" w:color="auto"/>
      </w:divBdr>
    </w:div>
    <w:div w:id="21283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490F71954D4E5990A08D735E352FA7"/>
        <w:category>
          <w:name w:val="General"/>
          <w:gallery w:val="placeholder"/>
        </w:category>
        <w:types>
          <w:type w:val="bbPlcHdr"/>
        </w:types>
        <w:behaviors>
          <w:behavior w:val="content"/>
        </w:behaviors>
        <w:guid w:val="{38E3538C-7216-4FAB-9DA5-AE28311BF758}"/>
      </w:docPartPr>
      <w:docPartBody>
        <w:p w:rsidR="00EC1CBA" w:rsidRDefault="002A22DF" w:rsidP="002A22DF">
          <w:pPr>
            <w:pStyle w:val="28490F71954D4E5990A08D735E352FA7"/>
          </w:pPr>
          <w:r>
            <w:t>[</w:t>
          </w:r>
          <w:r w:rsidRPr="000D50B0">
            <w:rPr>
              <w:color w:val="00B0F0"/>
            </w:rPr>
            <w:t>INSERT CLINICIAL EVALUATOR NAME</w:t>
          </w:r>
          <w:r>
            <w:rPr>
              <w:color w:val="00B0F0"/>
            </w:rPr>
            <w:t>]</w:t>
          </w:r>
        </w:p>
      </w:docPartBody>
    </w:docPart>
    <w:docPart>
      <w:docPartPr>
        <w:name w:val="88E66B89BD71439F99BCECA08D3B5FEC"/>
        <w:category>
          <w:name w:val="General"/>
          <w:gallery w:val="placeholder"/>
        </w:category>
        <w:types>
          <w:type w:val="bbPlcHdr"/>
        </w:types>
        <w:behaviors>
          <w:behavior w:val="content"/>
        </w:behaviors>
        <w:guid w:val="{0A5A1D2C-A9FF-45F4-A4EB-D93243DA4A03}"/>
      </w:docPartPr>
      <w:docPartBody>
        <w:p w:rsidR="00EC1CBA" w:rsidRDefault="002A22DF" w:rsidP="002A22DF">
          <w:pPr>
            <w:pStyle w:val="88E66B89BD71439F99BCECA08D3B5FEC"/>
          </w:pPr>
          <w:r>
            <w:t>[</w:t>
          </w:r>
          <w:r w:rsidRPr="000D50B0">
            <w:rPr>
              <w:color w:val="00B0F0"/>
            </w:rPr>
            <w:t>INSERT PROFESSIONAL CREDENTIAL: OT/PT/SLP</w:t>
          </w:r>
          <w:r>
            <w:rPr>
              <w:color w:val="00B0F0"/>
            </w:rPr>
            <w:t>]</w:t>
          </w:r>
        </w:p>
      </w:docPartBody>
    </w:docPart>
    <w:docPart>
      <w:docPartPr>
        <w:name w:val="EC42A5F6386B45F89ABF479C41CB974F"/>
        <w:category>
          <w:name w:val="General"/>
          <w:gallery w:val="placeholder"/>
        </w:category>
        <w:types>
          <w:type w:val="bbPlcHdr"/>
        </w:types>
        <w:behaviors>
          <w:behavior w:val="content"/>
        </w:behaviors>
        <w:guid w:val="{57D689CB-5660-44F5-82F6-88AF43A857C2}"/>
      </w:docPartPr>
      <w:docPartBody>
        <w:p w:rsidR="00EC1CBA" w:rsidRDefault="002A22DF" w:rsidP="002A22DF">
          <w:pPr>
            <w:pStyle w:val="EC42A5F6386B45F89ABF479C41CB974F"/>
          </w:pPr>
          <w:r w:rsidRPr="00963278">
            <w:rPr>
              <w:color w:val="00B0F0"/>
            </w:rPr>
            <w:t xml:space="preserve">[INSERT </w:t>
          </w:r>
          <w:r w:rsidRPr="000D50B0">
            <w:rPr>
              <w:color w:val="00B0F0"/>
            </w:rPr>
            <w:t>PATIENT NAME</w:t>
          </w:r>
          <w:r>
            <w:rPr>
              <w:color w:val="00B0F0"/>
            </w:rPr>
            <w:t>]</w:t>
          </w:r>
        </w:p>
      </w:docPartBody>
    </w:docPart>
    <w:docPart>
      <w:docPartPr>
        <w:name w:val="E4D5D643E9CD4ABFBC80166E422D006B"/>
        <w:category>
          <w:name w:val="General"/>
          <w:gallery w:val="placeholder"/>
        </w:category>
        <w:types>
          <w:type w:val="bbPlcHdr"/>
        </w:types>
        <w:behaviors>
          <w:behavior w:val="content"/>
        </w:behaviors>
        <w:guid w:val="{5E9D140C-95BC-4D8D-B547-E86233A5D957}"/>
      </w:docPartPr>
      <w:docPartBody>
        <w:p w:rsidR="00A00569" w:rsidRDefault="002A22DF" w:rsidP="002A22DF">
          <w:pPr>
            <w:pStyle w:val="E4D5D643E9CD4ABFBC80166E422D006B"/>
          </w:pPr>
          <w:r w:rsidRPr="000705B6">
            <w:rPr>
              <w:color w:val="00B0F0"/>
            </w:rPr>
            <w:t>[INSERT DIAGNOSIS]</w:t>
          </w:r>
        </w:p>
      </w:docPartBody>
    </w:docPart>
    <w:docPart>
      <w:docPartPr>
        <w:name w:val="9BF3F5CF985F436DB652063D736E81E7"/>
        <w:category>
          <w:name w:val="General"/>
          <w:gallery w:val="placeholder"/>
        </w:category>
        <w:types>
          <w:type w:val="bbPlcHdr"/>
        </w:types>
        <w:behaviors>
          <w:behavior w:val="content"/>
        </w:behaviors>
        <w:guid w:val="{D08B40C6-B85C-4B7C-8DBF-F5ECBB835351}"/>
      </w:docPartPr>
      <w:docPartBody>
        <w:p w:rsidR="00014D4B" w:rsidRDefault="002A22DF" w:rsidP="002A22DF">
          <w:pPr>
            <w:pStyle w:val="9BF3F5CF985F436DB652063D736E81E7"/>
          </w:pPr>
          <w:r w:rsidRPr="00473803">
            <w:rPr>
              <w:rFonts w:cstheme="minorHAnsi"/>
              <w:color w:val="00B0F0"/>
            </w:rPr>
            <w:t>[</w:t>
          </w:r>
          <w:r>
            <w:rPr>
              <w:rFonts w:cstheme="minorHAnsi"/>
              <w:color w:val="00B0F0"/>
            </w:rPr>
            <w:t>INSERT</w:t>
          </w:r>
          <w:r w:rsidRPr="00AF19F8">
            <w:rPr>
              <w:rFonts w:cstheme="minorHAnsi"/>
              <w:color w:val="00B0F0"/>
            </w:rPr>
            <w:t xml:space="preserve"> </w:t>
          </w:r>
          <w:r>
            <w:rPr>
              <w:rFonts w:cstheme="minorHAnsi"/>
              <w:color w:val="00B0F0"/>
            </w:rPr>
            <w:t xml:space="preserve">ANY </w:t>
          </w:r>
          <w:r w:rsidRPr="00AF19F8">
            <w:rPr>
              <w:rFonts w:cstheme="minorHAnsi"/>
              <w:color w:val="00B0F0"/>
            </w:rPr>
            <w:t xml:space="preserve">OBSERVED </w:t>
          </w:r>
          <w:r>
            <w:rPr>
              <w:rFonts w:cstheme="minorHAnsi"/>
              <w:color w:val="00B0F0"/>
            </w:rPr>
            <w:t>OR</w:t>
          </w:r>
          <w:r w:rsidRPr="00AF19F8">
            <w:rPr>
              <w:rFonts w:cstheme="minorHAnsi"/>
              <w:color w:val="00B0F0"/>
            </w:rPr>
            <w:t xml:space="preserve"> DOCUMENTED DECREASE IN SEVERITY OF SYMPTOMS OR RISK FACTORS</w:t>
          </w:r>
          <w:r>
            <w:rPr>
              <w:rFonts w:cstheme="minorHAnsi"/>
              <w:color w:val="00B0F0"/>
            </w:rPr>
            <w:t>]</w:t>
          </w:r>
        </w:p>
      </w:docPartBody>
    </w:docPart>
    <w:docPart>
      <w:docPartPr>
        <w:name w:val="97DED767CB204BFC9DD31E561BC98C17"/>
        <w:category>
          <w:name w:val="General"/>
          <w:gallery w:val="placeholder"/>
        </w:category>
        <w:types>
          <w:type w:val="bbPlcHdr"/>
        </w:types>
        <w:behaviors>
          <w:behavior w:val="content"/>
        </w:behaviors>
        <w:guid w:val="{840BA727-7C29-423E-8B27-BDD6448F0425}"/>
      </w:docPartPr>
      <w:docPartBody>
        <w:p w:rsidR="00FC7F81" w:rsidRDefault="002A22DF" w:rsidP="002A22DF">
          <w:pPr>
            <w:pStyle w:val="97DED767CB204BFC9DD31E561BC98C17"/>
          </w:pPr>
          <w:r w:rsidRPr="000C7E40">
            <w:rPr>
              <w:color w:val="00B0F0"/>
            </w:rPr>
            <w:t>[INSERT FACILITY NAME AND INPATIENT/OUTPATIENT STATUS]</w:t>
          </w:r>
        </w:p>
      </w:docPartBody>
    </w:docPart>
    <w:docPart>
      <w:docPartPr>
        <w:name w:val="CC1F8952A99B4C60A7B24069C04D1CEC"/>
        <w:category>
          <w:name w:val="General"/>
          <w:gallery w:val="placeholder"/>
        </w:category>
        <w:types>
          <w:type w:val="bbPlcHdr"/>
        </w:types>
        <w:behaviors>
          <w:behavior w:val="content"/>
        </w:behaviors>
        <w:guid w:val="{A99E4A80-8AE2-4694-B767-5A68E2D3EA77}"/>
      </w:docPartPr>
      <w:docPartBody>
        <w:p w:rsidR="0069577D" w:rsidRDefault="002A22DF" w:rsidP="002A22DF">
          <w:pPr>
            <w:pStyle w:val="CC1F8952A99B4C60A7B24069C04D1CEC"/>
          </w:pPr>
          <w:r w:rsidRPr="004B28F4">
            <w:rPr>
              <w:color w:val="00B0F0"/>
            </w:rPr>
            <w:t xml:space="preserve">PRIOR TO OBI, </w:t>
          </w:r>
          <w:r w:rsidRPr="00065E8A">
            <w:rPr>
              <w:rStyle w:val="PlaceholderText"/>
              <w:color w:val="00B0F0"/>
            </w:rPr>
            <w:t xml:space="preserve">IF THE </w:t>
          </w:r>
          <w:r>
            <w:rPr>
              <w:rStyle w:val="PlaceholderText"/>
              <w:color w:val="00B0F0"/>
            </w:rPr>
            <w:t xml:space="preserve">BASELINE </w:t>
          </w:r>
          <w:r w:rsidRPr="00065E8A">
            <w:rPr>
              <w:rStyle w:val="PlaceholderText"/>
              <w:color w:val="00B0F0"/>
            </w:rPr>
            <w:t xml:space="preserve">LEVEL OF </w:t>
          </w:r>
          <w:r>
            <w:rPr>
              <w:rStyle w:val="PlaceholderText"/>
              <w:color w:val="00B0F0"/>
            </w:rPr>
            <w:t>HEALTH RISKS/</w:t>
          </w:r>
          <w:r w:rsidRPr="00065E8A">
            <w:rPr>
              <w:rStyle w:val="PlaceholderText"/>
              <w:color w:val="00B0F0"/>
            </w:rPr>
            <w:t>IMPAIRMENT</w:t>
          </w:r>
          <w:r>
            <w:rPr>
              <w:rStyle w:val="PlaceholderText"/>
              <w:color w:val="00B0F0"/>
            </w:rPr>
            <w:t>S</w:t>
          </w:r>
          <w:r w:rsidRPr="00065E8A">
            <w:rPr>
              <w:rStyle w:val="PlaceholderText"/>
              <w:color w:val="00B0F0"/>
            </w:rPr>
            <w:t xml:space="preserve"> HAS </w:t>
          </w:r>
          <w:r>
            <w:rPr>
              <w:rStyle w:val="PlaceholderText"/>
              <w:color w:val="00B0F0"/>
            </w:rPr>
            <w:t xml:space="preserve">RECENTLY </w:t>
          </w:r>
          <w:r w:rsidRPr="00065E8A">
            <w:rPr>
              <w:rStyle w:val="PlaceholderText"/>
              <w:color w:val="00B0F0"/>
            </w:rPr>
            <w:t>GROWN MORE SEVERE</w:t>
          </w:r>
          <w:r>
            <w:rPr>
              <w:rStyle w:val="PlaceholderText"/>
              <w:color w:val="00B0F0"/>
            </w:rPr>
            <w:t xml:space="preserve"> OR WILL LIKELY CONTINUE TO WORSEN</w:t>
          </w:r>
          <w:r w:rsidRPr="00065E8A">
            <w:rPr>
              <w:rStyle w:val="PlaceholderText"/>
              <w:color w:val="00B0F0"/>
            </w:rPr>
            <w:t xml:space="preserve"> DUE TO IMPAIRED FUNCTIONAL EATING, MENTION SO HERE.</w:t>
          </w:r>
        </w:p>
      </w:docPartBody>
    </w:docPart>
    <w:docPart>
      <w:docPartPr>
        <w:name w:val="1983235FC96D4061A51706BB0A61E11B"/>
        <w:category>
          <w:name w:val="General"/>
          <w:gallery w:val="placeholder"/>
        </w:category>
        <w:types>
          <w:type w:val="bbPlcHdr"/>
        </w:types>
        <w:behaviors>
          <w:behavior w:val="content"/>
        </w:behaviors>
        <w:guid w:val="{DD53182F-F1F4-446E-A657-8FDD4B327774}"/>
      </w:docPartPr>
      <w:docPartBody>
        <w:p w:rsidR="00480328" w:rsidRDefault="002A22DF" w:rsidP="002A22DF">
          <w:pPr>
            <w:pStyle w:val="1983235FC96D4061A51706BB0A61E11B"/>
          </w:pPr>
          <w:r w:rsidRPr="009401F7">
            <w:rPr>
              <w:rFonts w:cstheme="minorHAnsi"/>
              <w:color w:val="00B0F0"/>
            </w:rPr>
            <w:t>[INSERT PATIENT NAME]</w:t>
          </w:r>
        </w:p>
      </w:docPartBody>
    </w:docPart>
    <w:docPart>
      <w:docPartPr>
        <w:name w:val="6C187992D41446C0A08A5B22F4154B03"/>
        <w:category>
          <w:name w:val="General"/>
          <w:gallery w:val="placeholder"/>
        </w:category>
        <w:types>
          <w:type w:val="bbPlcHdr"/>
        </w:types>
        <w:behaviors>
          <w:behavior w:val="content"/>
        </w:behaviors>
        <w:guid w:val="{F1447521-70AE-446E-9F0C-944806D9A5FA}"/>
      </w:docPartPr>
      <w:docPartBody>
        <w:p w:rsidR="00480328" w:rsidRDefault="002A22DF" w:rsidP="002A22DF">
          <w:pPr>
            <w:pStyle w:val="6C187992D41446C0A08A5B22F4154B03"/>
          </w:pPr>
          <w:r w:rsidRPr="009401F7">
            <w:rPr>
              <w:rFonts w:cstheme="minorHAnsi"/>
              <w:color w:val="00B0F0"/>
            </w:rPr>
            <w:t>[INSERT PATIENT NAME]</w:t>
          </w:r>
        </w:p>
      </w:docPartBody>
    </w:docPart>
    <w:docPart>
      <w:docPartPr>
        <w:name w:val="41AE99720B5D446DBD86E27665D623F2"/>
        <w:category>
          <w:name w:val="General"/>
          <w:gallery w:val="placeholder"/>
        </w:category>
        <w:types>
          <w:type w:val="bbPlcHdr"/>
        </w:types>
        <w:behaviors>
          <w:behavior w:val="content"/>
        </w:behaviors>
        <w:guid w:val="{B5D38124-A9E3-4DA4-9BFD-99DB557F694D}"/>
      </w:docPartPr>
      <w:docPartBody>
        <w:p w:rsidR="00FD2911" w:rsidRDefault="002A22DF" w:rsidP="002A22DF">
          <w:pPr>
            <w:pStyle w:val="41AE99720B5D446DBD86E27665D623F2"/>
          </w:pPr>
          <w:r w:rsidRPr="00AF1A96">
            <w:rPr>
              <w:rFonts w:cstheme="minorHAnsi"/>
              <w:color w:val="00B0F0"/>
            </w:rPr>
            <w:t>[INSERT SPECIFIC EXAMPLES]</w:t>
          </w:r>
        </w:p>
      </w:docPartBody>
    </w:docPart>
    <w:docPart>
      <w:docPartPr>
        <w:name w:val="FA71498802324D448CBF5EE07D8E979D"/>
        <w:category>
          <w:name w:val="General"/>
          <w:gallery w:val="placeholder"/>
        </w:category>
        <w:types>
          <w:type w:val="bbPlcHdr"/>
        </w:types>
        <w:behaviors>
          <w:behavior w:val="content"/>
        </w:behaviors>
        <w:guid w:val="{9023D21D-7144-460D-9A3B-42D92F7E9A1A}"/>
      </w:docPartPr>
      <w:docPartBody>
        <w:p w:rsidR="00FD2911" w:rsidRDefault="002A22DF" w:rsidP="002A22DF">
          <w:pPr>
            <w:pStyle w:val="FA71498802324D448CBF5EE07D8E979D"/>
          </w:pPr>
          <w:r w:rsidRPr="00FB2E0A">
            <w:rPr>
              <w:rStyle w:val="PlaceholderText"/>
              <w:color w:val="00B0F0"/>
            </w:rPr>
            <w:t>[ADD SPECIFIC EQUIPMENT]</w:t>
          </w:r>
        </w:p>
      </w:docPartBody>
    </w:docPart>
    <w:docPart>
      <w:docPartPr>
        <w:name w:val="9B3F1428EB394B74AD13362955C0F5DC"/>
        <w:category>
          <w:name w:val="General"/>
          <w:gallery w:val="placeholder"/>
        </w:category>
        <w:types>
          <w:type w:val="bbPlcHdr"/>
        </w:types>
        <w:behaviors>
          <w:behavior w:val="content"/>
        </w:behaviors>
        <w:guid w:val="{9761FED1-DB81-46D9-BA8B-78952E0C5F7B}"/>
      </w:docPartPr>
      <w:docPartBody>
        <w:p w:rsidR="006004FA" w:rsidRDefault="002A22DF" w:rsidP="002A22DF">
          <w:pPr>
            <w:pStyle w:val="9B3F1428EB394B74AD13362955C0F5DC"/>
          </w:pPr>
          <w:r w:rsidRPr="005B537D">
            <w:rPr>
              <w:rFonts w:cstheme="minorHAnsi"/>
              <w:color w:val="00B0F0"/>
            </w:rPr>
            <w:t>[INSERT PATIENT NAME]</w:t>
          </w:r>
        </w:p>
      </w:docPartBody>
    </w:docPart>
    <w:docPart>
      <w:docPartPr>
        <w:name w:val="59081730FFF24203892F7F6A01DD0D77"/>
        <w:category>
          <w:name w:val="General"/>
          <w:gallery w:val="placeholder"/>
        </w:category>
        <w:types>
          <w:type w:val="bbPlcHdr"/>
        </w:types>
        <w:behaviors>
          <w:behavior w:val="content"/>
        </w:behaviors>
        <w:guid w:val="{39B1EB05-3E59-413D-9B11-DD5D71E987CF}"/>
      </w:docPartPr>
      <w:docPartBody>
        <w:p w:rsidR="00B7305D" w:rsidRDefault="002A22DF" w:rsidP="002A22DF">
          <w:pPr>
            <w:pStyle w:val="59081730FFF24203892F7F6A01DD0D771"/>
          </w:pPr>
          <w:r w:rsidRPr="008A2803">
            <w:rPr>
              <w:color w:val="00B0F0"/>
            </w:rPr>
            <w:t>[INSERT DIAGNOSIS]</w:t>
          </w:r>
        </w:p>
      </w:docPartBody>
    </w:docPart>
    <w:docPart>
      <w:docPartPr>
        <w:name w:val="17A7A7E9443843CBA067527184F756D6"/>
        <w:category>
          <w:name w:val="General"/>
          <w:gallery w:val="placeholder"/>
        </w:category>
        <w:types>
          <w:type w:val="bbPlcHdr"/>
        </w:types>
        <w:behaviors>
          <w:behavior w:val="content"/>
        </w:behaviors>
        <w:guid w:val="{1AC5CCF3-684E-45D7-8F19-0F47E6362D79}"/>
      </w:docPartPr>
      <w:docPartBody>
        <w:p w:rsidR="00B7305D" w:rsidRDefault="002A22DF" w:rsidP="002A22DF">
          <w:pPr>
            <w:pStyle w:val="17A7A7E9443843CBA067527184F756D61"/>
          </w:pPr>
          <w:r w:rsidRPr="008A2803">
            <w:rPr>
              <w:color w:val="00B0F0"/>
            </w:rPr>
            <w:t>[INSERT PATIENT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BA"/>
    <w:rsid w:val="00014D4B"/>
    <w:rsid w:val="000252B3"/>
    <w:rsid w:val="00057287"/>
    <w:rsid w:val="00185456"/>
    <w:rsid w:val="001D3D61"/>
    <w:rsid w:val="00261A11"/>
    <w:rsid w:val="002A22DF"/>
    <w:rsid w:val="002E6CA3"/>
    <w:rsid w:val="00480328"/>
    <w:rsid w:val="00535263"/>
    <w:rsid w:val="005B2E74"/>
    <w:rsid w:val="006004FA"/>
    <w:rsid w:val="0069577D"/>
    <w:rsid w:val="007207F6"/>
    <w:rsid w:val="007369E1"/>
    <w:rsid w:val="00777A64"/>
    <w:rsid w:val="008C6F1C"/>
    <w:rsid w:val="0098390E"/>
    <w:rsid w:val="009F675A"/>
    <w:rsid w:val="00A00569"/>
    <w:rsid w:val="00A3507D"/>
    <w:rsid w:val="00A52AC2"/>
    <w:rsid w:val="00A73CB0"/>
    <w:rsid w:val="00AA7434"/>
    <w:rsid w:val="00AC0C96"/>
    <w:rsid w:val="00B62961"/>
    <w:rsid w:val="00B7305D"/>
    <w:rsid w:val="00BC53AC"/>
    <w:rsid w:val="00C4580D"/>
    <w:rsid w:val="00C9194F"/>
    <w:rsid w:val="00CA5745"/>
    <w:rsid w:val="00CC0080"/>
    <w:rsid w:val="00D81AA7"/>
    <w:rsid w:val="00DE36F1"/>
    <w:rsid w:val="00EC1CBA"/>
    <w:rsid w:val="00F267D4"/>
    <w:rsid w:val="00F75B80"/>
    <w:rsid w:val="00FC531D"/>
    <w:rsid w:val="00FC7F81"/>
    <w:rsid w:val="00FD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2DF"/>
    <w:rPr>
      <w:color w:val="666666"/>
    </w:rPr>
  </w:style>
  <w:style w:type="character" w:styleId="CommentReference">
    <w:name w:val="annotation reference"/>
    <w:basedOn w:val="DefaultParagraphFont"/>
    <w:uiPriority w:val="99"/>
    <w:semiHidden/>
    <w:unhideWhenUsed/>
    <w:rsid w:val="00A00569"/>
    <w:rPr>
      <w:sz w:val="16"/>
      <w:szCs w:val="16"/>
    </w:rPr>
  </w:style>
  <w:style w:type="paragraph" w:styleId="CommentText">
    <w:name w:val="annotation text"/>
    <w:basedOn w:val="Normal"/>
    <w:link w:val="CommentTextChar"/>
    <w:uiPriority w:val="99"/>
    <w:unhideWhenUsed/>
    <w:rsid w:val="00A00569"/>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00569"/>
    <w:rPr>
      <w:rFonts w:eastAsiaTheme="minorHAnsi"/>
      <w:sz w:val="20"/>
      <w:szCs w:val="20"/>
    </w:rPr>
  </w:style>
  <w:style w:type="paragraph" w:customStyle="1" w:styleId="28490F71954D4E5990A08D735E352FA7">
    <w:name w:val="28490F71954D4E5990A08D735E352FA7"/>
    <w:rsid w:val="002A22DF"/>
    <w:rPr>
      <w:rFonts w:eastAsiaTheme="minorHAnsi"/>
    </w:rPr>
  </w:style>
  <w:style w:type="paragraph" w:customStyle="1" w:styleId="88E66B89BD71439F99BCECA08D3B5FEC">
    <w:name w:val="88E66B89BD71439F99BCECA08D3B5FEC"/>
    <w:rsid w:val="002A22DF"/>
    <w:rPr>
      <w:rFonts w:eastAsiaTheme="minorHAnsi"/>
    </w:rPr>
  </w:style>
  <w:style w:type="paragraph" w:customStyle="1" w:styleId="EC42A5F6386B45F89ABF479C41CB974F">
    <w:name w:val="EC42A5F6386B45F89ABF479C41CB974F"/>
    <w:rsid w:val="002A22DF"/>
    <w:rPr>
      <w:rFonts w:eastAsiaTheme="minorHAnsi"/>
    </w:rPr>
  </w:style>
  <w:style w:type="paragraph" w:customStyle="1" w:styleId="E4D5D643E9CD4ABFBC80166E422D006B">
    <w:name w:val="E4D5D643E9CD4ABFBC80166E422D006B"/>
    <w:rsid w:val="002A22DF"/>
    <w:rPr>
      <w:rFonts w:eastAsiaTheme="minorHAnsi"/>
    </w:rPr>
  </w:style>
  <w:style w:type="paragraph" w:customStyle="1" w:styleId="59081730FFF24203892F7F6A01DD0D771">
    <w:name w:val="59081730FFF24203892F7F6A01DD0D771"/>
    <w:rsid w:val="002A22DF"/>
    <w:rPr>
      <w:rFonts w:eastAsiaTheme="minorHAnsi"/>
    </w:rPr>
  </w:style>
  <w:style w:type="paragraph" w:customStyle="1" w:styleId="17A7A7E9443843CBA067527184F756D61">
    <w:name w:val="17A7A7E9443843CBA067527184F756D61"/>
    <w:rsid w:val="002A22DF"/>
    <w:rPr>
      <w:rFonts w:eastAsiaTheme="minorHAnsi"/>
    </w:rPr>
  </w:style>
  <w:style w:type="paragraph" w:customStyle="1" w:styleId="FA71498802324D448CBF5EE07D8E979D">
    <w:name w:val="FA71498802324D448CBF5EE07D8E979D"/>
    <w:rsid w:val="002A22DF"/>
    <w:rPr>
      <w:rFonts w:eastAsiaTheme="minorHAnsi"/>
    </w:rPr>
  </w:style>
  <w:style w:type="paragraph" w:customStyle="1" w:styleId="97DED767CB204BFC9DD31E561BC98C17">
    <w:name w:val="97DED767CB204BFC9DD31E561BC98C17"/>
    <w:rsid w:val="002A22DF"/>
    <w:rPr>
      <w:rFonts w:eastAsiaTheme="minorHAnsi"/>
    </w:rPr>
  </w:style>
  <w:style w:type="paragraph" w:customStyle="1" w:styleId="CC1F8952A99B4C60A7B24069C04D1CEC">
    <w:name w:val="CC1F8952A99B4C60A7B24069C04D1CEC"/>
    <w:rsid w:val="002A22DF"/>
    <w:rPr>
      <w:rFonts w:eastAsiaTheme="minorHAnsi"/>
    </w:rPr>
  </w:style>
  <w:style w:type="paragraph" w:customStyle="1" w:styleId="1983235FC96D4061A51706BB0A61E11B">
    <w:name w:val="1983235FC96D4061A51706BB0A61E11B"/>
    <w:rsid w:val="002A22DF"/>
    <w:rPr>
      <w:rFonts w:eastAsiaTheme="minorHAnsi"/>
    </w:rPr>
  </w:style>
  <w:style w:type="paragraph" w:customStyle="1" w:styleId="9BF3F5CF985F436DB652063D736E81E7">
    <w:name w:val="9BF3F5CF985F436DB652063D736E81E7"/>
    <w:rsid w:val="002A22DF"/>
    <w:rPr>
      <w:rFonts w:eastAsiaTheme="minorHAnsi"/>
    </w:rPr>
  </w:style>
  <w:style w:type="paragraph" w:customStyle="1" w:styleId="41AE99720B5D446DBD86E27665D623F2">
    <w:name w:val="41AE99720B5D446DBD86E27665D623F2"/>
    <w:rsid w:val="002A22DF"/>
    <w:rPr>
      <w:rFonts w:eastAsiaTheme="minorHAnsi"/>
    </w:rPr>
  </w:style>
  <w:style w:type="paragraph" w:customStyle="1" w:styleId="6C187992D41446C0A08A5B22F4154B03">
    <w:name w:val="6C187992D41446C0A08A5B22F4154B03"/>
    <w:rsid w:val="002A22DF"/>
    <w:rPr>
      <w:rFonts w:eastAsiaTheme="minorHAnsi"/>
    </w:rPr>
  </w:style>
  <w:style w:type="paragraph" w:customStyle="1" w:styleId="9B3F1428EB394B74AD13362955C0F5DC">
    <w:name w:val="9B3F1428EB394B74AD13362955C0F5DC"/>
    <w:rsid w:val="002A22D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Lon121</b:Tag>
    <b:SourceType>JournalArticle</b:SourceType>
    <b:Guid>{AF5BF4A9-72EB-4D9F-94BA-93D028A2160E}</b:Guid>
    <b:Author>
      <b:Author>
        <b:NameList>
          <b:Person>
            <b:Last>Lone Gaedt</b:Last>
            <b:First>2012</b:First>
          </b:Person>
        </b:NameList>
      </b:Author>
    </b:Author>
    <b:Title>Dining assistive technology for people with physical disabilities</b:Title>
    <b:Year>2012</b:Year>
    <b:JournalName>Welfare Technology Assessment Social agency ABT project</b:JournalName>
    <b:RefOrder>2</b:RefOrder>
  </b:Source>
  <b:Source>
    <b:Tag>Bet22</b:Tag>
    <b:SourceType>Report</b:SourceType>
    <b:Guid>{BFF33D1E-3B79-4C1F-A264-F6D0BA3EEE1F}</b:Guid>
    <b:Author>
      <b:Author>
        <b:NameList>
          <b:Person>
            <b:Last>Betsy Burgos</b:Last>
            <b:First>Phd.,</b:First>
            <b:Middle>Eds, OTR/L, ATP</b:Middle>
          </b:Person>
        </b:NameList>
      </b:Author>
    </b:Author>
    <b:Title>PERFORMANCE ANALYSIS ON THE USE OF OBI FOR SELF FEEDING WITHIN HOME ENVIRONMENTS</b:Title>
    <b:Year>2022</b:Year>
    <b:RefOrder>1</b:RefOrder>
  </b:Source>
  <b:Source>
    <b:Tag>Her99</b:Tag>
    <b:SourceType>JournalArticle</b:SourceType>
    <b:Guid>{2D72C9AA-5D5B-436B-9DFC-1A25448339A0}</b:Guid>
    <b:Author>
      <b:Author>
        <b:NameList>
          <b:Person>
            <b:Last>Hermann</b:Last>
            <b:First>R.,</b:First>
            <b:Middle>Phalangas, A., Mahoney, R., &amp; Alexander, M.</b:Middle>
          </b:Person>
        </b:NameList>
      </b:Author>
    </b:Author>
    <b:Title>Powered feeding devices: an evaluation of three models.</b:Title>
    <b:Year>1999</b:Year>
    <b:JournalName>Archives of physical medicine and rehabilitation</b:JournalName>
    <b:Volume>1237</b:Volume>
    <b:Issue>42</b:Issue>
    <b:RefOrder>3</b:RefOrder>
  </b:Source>
  <b:Source>
    <b:Tag>GSl04</b:Tag>
    <b:SourceType>JournalArticle</b:SourceType>
    <b:Guid>{848ECB5F-F237-4D2D-93A8-D5D1C51D057B}</b:Guid>
    <b:Author>
      <b:Author>
        <b:NameList>
          <b:Person>
            <b:Last>G Sleigh 1</b:Last>
            <b:First>P</b:First>
            <b:Middle>Brocklehurst</b:Middle>
          </b:Person>
        </b:NameList>
      </b:Author>
    </b:Author>
    <b:Title>Gastrostomy feeding in cerebral palsy: a systematic review</b:Title>
    <b:JournalName>Arch Dis Child</b:JournalName>
    <b:Year>2004</b:Year>
    <b:Pages>534-9</b:Pages>
    <b:Volume>89</b:Volume>
    <b:Issue>6</b:Issue>
    <b:RefOrder>4</b:RefOrder>
  </b:Source>
</b:Sources>
</file>

<file path=customXml/itemProps1.xml><?xml version="1.0" encoding="utf-8"?>
<ds:datastoreItem xmlns:ds="http://schemas.openxmlformats.org/officeDocument/2006/customXml" ds:itemID="{E8300818-EE68-43F0-A13C-45E2BDA6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5</Pages>
  <Words>10863</Words>
  <Characters>61921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Dekar</dc:creator>
  <cp:keywords/>
  <dc:description/>
  <cp:lastModifiedBy>Jon Dekar</cp:lastModifiedBy>
  <cp:revision>33</cp:revision>
  <cp:lastPrinted>2024-03-20T16:49:00Z</cp:lastPrinted>
  <dcterms:created xsi:type="dcterms:W3CDTF">2025-04-21T19:29:00Z</dcterms:created>
  <dcterms:modified xsi:type="dcterms:W3CDTF">2025-04-22T21:11:00Z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id="dlxPmgjp"/&gt;&lt;style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